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2BF844" w14:textId="5FCECDBD" w:rsidR="00B7063D" w:rsidRPr="00F6522F" w:rsidRDefault="001D5862" w:rsidP="00F6522F">
      <w:pPr>
        <w:ind w:left="360"/>
        <w:jc w:val="center"/>
        <w:rPr>
          <w:rFonts w:ascii="Garamond" w:hAnsi="Garamond"/>
          <w:color w:val="000000" w:themeColor="text1"/>
          <w:sz w:val="24"/>
          <w:szCs w:val="24"/>
        </w:rPr>
      </w:pPr>
      <w:r w:rsidRPr="00F6522F">
        <w:rPr>
          <w:noProof/>
          <w:color w:val="000000" w:themeColor="text1"/>
        </w:rPr>
        <w:drawing>
          <wp:inline distT="0" distB="0" distL="0" distR="0" wp14:anchorId="6F319BB7" wp14:editId="532F7CAD">
            <wp:extent cx="5932805" cy="14249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2E1FE" w14:textId="4E836DC1" w:rsidR="00EB44BD" w:rsidRPr="00F6522F" w:rsidRDefault="00EB44BD" w:rsidP="00F6522F">
      <w:pPr>
        <w:widowControl w:val="0"/>
        <w:autoSpaceDE w:val="0"/>
        <w:autoSpaceDN w:val="0"/>
        <w:adjustRightInd w:val="0"/>
        <w:ind w:left="1080"/>
        <w:jc w:val="center"/>
        <w:rPr>
          <w:rFonts w:ascii="Garamond" w:hAnsi="Garamond" w:cs="Times"/>
          <w:smallCaps/>
          <w:color w:val="000000" w:themeColor="text1"/>
          <w:kern w:val="0"/>
          <w:sz w:val="32"/>
          <w:szCs w:val="32"/>
        </w:rPr>
      </w:pPr>
      <w:r w:rsidRPr="00F6522F">
        <w:rPr>
          <w:rFonts w:ascii="Garamond" w:hAnsi="Garamond" w:cs="Garamond"/>
          <w:b/>
          <w:bCs/>
          <w:smallCaps/>
          <w:color w:val="000000" w:themeColor="text1"/>
          <w:kern w:val="0"/>
          <w:sz w:val="32"/>
          <w:szCs w:val="32"/>
        </w:rPr>
        <w:t>Supporting Materials</w:t>
      </w:r>
    </w:p>
    <w:p w14:paraId="231672F6" w14:textId="77777777" w:rsidR="003E01FC" w:rsidRPr="00F6522F" w:rsidRDefault="003E01FC" w:rsidP="00F6522F">
      <w:pPr>
        <w:widowControl w:val="0"/>
        <w:autoSpaceDE w:val="0"/>
        <w:autoSpaceDN w:val="0"/>
        <w:adjustRightInd w:val="0"/>
        <w:ind w:left="1080"/>
        <w:contextualSpacing/>
        <w:jc w:val="center"/>
        <w:rPr>
          <w:rFonts w:ascii="Garamond" w:hAnsi="Garamond" w:cs="Times"/>
          <w:smallCaps/>
          <w:color w:val="000000" w:themeColor="text1"/>
          <w:kern w:val="0"/>
          <w:sz w:val="32"/>
          <w:szCs w:val="32"/>
        </w:rPr>
      </w:pPr>
    </w:p>
    <w:p w14:paraId="1321B3FD" w14:textId="77777777" w:rsidR="001D6564" w:rsidRPr="00F6522F" w:rsidRDefault="001D6564" w:rsidP="00F6522F">
      <w:pPr>
        <w:spacing w:after="60"/>
        <w:ind w:left="360"/>
        <w:rPr>
          <w:rFonts w:ascii="Garamond" w:hAnsi="Garamond"/>
          <w:b/>
          <w:bCs/>
          <w:smallCaps/>
          <w:color w:val="000000" w:themeColor="text1"/>
          <w:sz w:val="24"/>
          <w:szCs w:val="24"/>
        </w:rPr>
      </w:pPr>
      <w:r w:rsidRPr="00F6522F">
        <w:rPr>
          <w:rFonts w:ascii="Garamond" w:hAnsi="Garamond"/>
          <w:b/>
          <w:bCs/>
          <w:smallCaps/>
          <w:color w:val="000000" w:themeColor="text1"/>
          <w:sz w:val="24"/>
          <w:szCs w:val="24"/>
        </w:rPr>
        <w:t xml:space="preserve">Young Lawyers Breakfast </w:t>
      </w:r>
    </w:p>
    <w:p w14:paraId="0F02AC42" w14:textId="77777777" w:rsidR="001D6564" w:rsidRPr="00F6522F" w:rsidRDefault="001D6564" w:rsidP="00F6522F">
      <w:pPr>
        <w:pStyle w:val="ListParagraph"/>
        <w:numPr>
          <w:ilvl w:val="0"/>
          <w:numId w:val="48"/>
        </w:numPr>
        <w:spacing w:after="60"/>
        <w:rPr>
          <w:rFonts w:ascii="Garamond" w:hAnsi="Garamond"/>
          <w:color w:val="000000" w:themeColor="text1"/>
          <w:sz w:val="24"/>
          <w:szCs w:val="24"/>
        </w:rPr>
      </w:pPr>
      <w:r w:rsidRPr="00F6522F">
        <w:rPr>
          <w:rFonts w:ascii="Garamond" w:hAnsi="Garamond"/>
          <w:color w:val="000000" w:themeColor="text1"/>
          <w:sz w:val="24"/>
          <w:szCs w:val="24"/>
        </w:rPr>
        <w:t xml:space="preserve">Robert </w:t>
      </w:r>
      <w:proofErr w:type="spellStart"/>
      <w:r w:rsidRPr="00F6522F">
        <w:rPr>
          <w:rFonts w:ascii="Garamond" w:hAnsi="Garamond"/>
          <w:color w:val="000000" w:themeColor="text1"/>
          <w:sz w:val="24"/>
          <w:szCs w:val="24"/>
        </w:rPr>
        <w:t>Lande</w:t>
      </w:r>
      <w:proofErr w:type="spellEnd"/>
      <w:r w:rsidRPr="00F6522F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Pr="00F6522F">
        <w:rPr>
          <w:rFonts w:ascii="Garamond" w:hAnsi="Garamond"/>
          <w:i/>
          <w:color w:val="000000" w:themeColor="text1"/>
          <w:sz w:val="24"/>
          <w:szCs w:val="24"/>
        </w:rPr>
        <w:t>Private Enforcement of Antirust Law in the United States: A Handbook, Introductory Chapter</w:t>
      </w:r>
      <w:r w:rsidRPr="00F6522F">
        <w:rPr>
          <w:rFonts w:ascii="Garamond" w:hAnsi="Garamond"/>
          <w:color w:val="000000" w:themeColor="text1"/>
          <w:sz w:val="24"/>
          <w:szCs w:val="24"/>
        </w:rPr>
        <w:t xml:space="preserve">, </w:t>
      </w:r>
      <w:proofErr w:type="gramStart"/>
      <w:r w:rsidRPr="00F6522F">
        <w:rPr>
          <w:rFonts w:ascii="Garamond" w:hAnsi="Garamond"/>
          <w:color w:val="000000" w:themeColor="text1"/>
          <w:sz w:val="24"/>
          <w:szCs w:val="24"/>
        </w:rPr>
        <w:t>Edward Elgar</w:t>
      </w:r>
      <w:proofErr w:type="gramEnd"/>
      <w:r w:rsidRPr="00F6522F">
        <w:rPr>
          <w:rFonts w:ascii="Garamond" w:hAnsi="Garamond"/>
          <w:color w:val="000000" w:themeColor="text1"/>
          <w:sz w:val="24"/>
          <w:szCs w:val="24"/>
        </w:rPr>
        <w:t xml:space="preserve"> (2012).</w:t>
      </w:r>
    </w:p>
    <w:p w14:paraId="74970E0E" w14:textId="77777777" w:rsidR="001D6564" w:rsidRPr="00F6522F" w:rsidRDefault="001D6564" w:rsidP="00F6522F">
      <w:pPr>
        <w:pStyle w:val="ListParagraph"/>
        <w:numPr>
          <w:ilvl w:val="0"/>
          <w:numId w:val="48"/>
        </w:numPr>
        <w:spacing w:after="60"/>
        <w:rPr>
          <w:rFonts w:ascii="Garamond" w:hAnsi="Garamond"/>
          <w:color w:val="000000" w:themeColor="text1"/>
          <w:sz w:val="24"/>
          <w:szCs w:val="24"/>
        </w:rPr>
      </w:pPr>
      <w:r w:rsidRPr="00F6522F">
        <w:rPr>
          <w:rFonts w:ascii="Garamond" w:hAnsi="Garamond"/>
          <w:color w:val="000000" w:themeColor="text1"/>
          <w:sz w:val="24"/>
          <w:szCs w:val="24"/>
        </w:rPr>
        <w:t xml:space="preserve">Stephanie A. </w:t>
      </w:r>
      <w:proofErr w:type="spellStart"/>
      <w:r w:rsidRPr="00F6522F">
        <w:rPr>
          <w:rFonts w:ascii="Garamond" w:hAnsi="Garamond"/>
          <w:color w:val="000000" w:themeColor="text1"/>
          <w:sz w:val="24"/>
          <w:szCs w:val="24"/>
        </w:rPr>
        <w:t>Scharf</w:t>
      </w:r>
      <w:proofErr w:type="spellEnd"/>
      <w:r w:rsidRPr="00F6522F">
        <w:rPr>
          <w:rFonts w:ascii="Garamond" w:hAnsi="Garamond"/>
          <w:color w:val="000000" w:themeColor="text1"/>
          <w:sz w:val="24"/>
          <w:szCs w:val="24"/>
        </w:rPr>
        <w:t xml:space="preserve"> &amp; Roberta D. Liebenberg, </w:t>
      </w:r>
      <w:r w:rsidRPr="00F6522F">
        <w:rPr>
          <w:rFonts w:ascii="Garamond" w:hAnsi="Garamond"/>
          <w:i/>
          <w:color w:val="000000" w:themeColor="text1"/>
          <w:sz w:val="24"/>
          <w:szCs w:val="24"/>
        </w:rPr>
        <w:t>First Chairs at Trial - More Women Need Seats at the Table: A Research Report on the Participation of Women Lawyers as Lead Counsel and Trial Counsel in Litigation</w:t>
      </w:r>
      <w:r w:rsidRPr="00F6522F">
        <w:rPr>
          <w:rFonts w:ascii="Garamond" w:hAnsi="Garamond"/>
          <w:color w:val="000000" w:themeColor="text1"/>
          <w:sz w:val="24"/>
          <w:szCs w:val="24"/>
        </w:rPr>
        <w:t>, American Bar Association (2015).</w:t>
      </w:r>
    </w:p>
    <w:p w14:paraId="6203241F" w14:textId="77777777" w:rsidR="001D6564" w:rsidRPr="00F6522F" w:rsidRDefault="001D6564" w:rsidP="00F6522F">
      <w:pPr>
        <w:pStyle w:val="ListParagraph"/>
        <w:numPr>
          <w:ilvl w:val="0"/>
          <w:numId w:val="48"/>
        </w:numPr>
        <w:spacing w:after="60"/>
        <w:rPr>
          <w:rFonts w:ascii="Garamond" w:hAnsi="Garamond"/>
          <w:b/>
          <w:i/>
          <w:color w:val="000000" w:themeColor="text1"/>
          <w:sz w:val="24"/>
          <w:szCs w:val="24"/>
        </w:rPr>
      </w:pPr>
      <w:r w:rsidRPr="00F6522F">
        <w:rPr>
          <w:rFonts w:ascii="Garamond" w:hAnsi="Garamond"/>
          <w:color w:val="000000" w:themeColor="text1"/>
          <w:sz w:val="24"/>
          <w:szCs w:val="24"/>
        </w:rPr>
        <w:t>Kennedy, A Cultural Pluralist Case for Affirmative Action in Legal Academia, 1990 Duke L.J. 705.</w:t>
      </w:r>
    </w:p>
    <w:p w14:paraId="2D8DAEFA" w14:textId="77777777" w:rsidR="001D6564" w:rsidRPr="00F6522F" w:rsidRDefault="001D6564" w:rsidP="00F6522F">
      <w:pPr>
        <w:pStyle w:val="ListParagraph"/>
        <w:numPr>
          <w:ilvl w:val="0"/>
          <w:numId w:val="48"/>
        </w:numPr>
        <w:spacing w:after="60"/>
        <w:rPr>
          <w:rFonts w:ascii="Garamond" w:hAnsi="Garamond"/>
          <w:b/>
          <w:i/>
          <w:color w:val="000000" w:themeColor="text1"/>
          <w:sz w:val="24"/>
          <w:szCs w:val="24"/>
        </w:rPr>
      </w:pPr>
      <w:r w:rsidRPr="00F6522F">
        <w:rPr>
          <w:rFonts w:ascii="Garamond" w:hAnsi="Garamond"/>
          <w:i/>
          <w:color w:val="000000" w:themeColor="text1"/>
          <w:sz w:val="24"/>
          <w:szCs w:val="24"/>
        </w:rPr>
        <w:t xml:space="preserve">Kevin Woodson, Race and Rapport: </w:t>
      </w:r>
      <w:proofErr w:type="spellStart"/>
      <w:r w:rsidRPr="00F6522F">
        <w:rPr>
          <w:rFonts w:ascii="Garamond" w:hAnsi="Garamond"/>
          <w:i/>
          <w:color w:val="000000" w:themeColor="text1"/>
          <w:sz w:val="24"/>
          <w:szCs w:val="24"/>
        </w:rPr>
        <w:t>Homophily</w:t>
      </w:r>
      <w:proofErr w:type="spellEnd"/>
      <w:r w:rsidRPr="00F6522F">
        <w:rPr>
          <w:rFonts w:ascii="Garamond" w:hAnsi="Garamond"/>
          <w:i/>
          <w:color w:val="000000" w:themeColor="text1"/>
          <w:sz w:val="24"/>
          <w:szCs w:val="24"/>
        </w:rPr>
        <w:t xml:space="preserve"> and Racial Disadvantage in Large Law Firms, 83 Fordham L. Rev. 2557 (2015).</w:t>
      </w:r>
    </w:p>
    <w:p w14:paraId="7775E9B9" w14:textId="77777777" w:rsidR="001D6564" w:rsidRPr="00F6522F" w:rsidRDefault="001D6564" w:rsidP="00F6522F">
      <w:pPr>
        <w:spacing w:after="60"/>
        <w:ind w:left="360"/>
        <w:contextualSpacing/>
        <w:rPr>
          <w:rFonts w:ascii="Garamond" w:hAnsi="Garamond"/>
          <w:b/>
          <w:bCs/>
          <w:smallCaps/>
          <w:color w:val="000000" w:themeColor="text1"/>
          <w:sz w:val="24"/>
          <w:szCs w:val="24"/>
        </w:rPr>
      </w:pPr>
    </w:p>
    <w:p w14:paraId="4E924C1E" w14:textId="77777777" w:rsidR="00F6522F" w:rsidRPr="00F6522F" w:rsidRDefault="00F6522F" w:rsidP="00F6522F">
      <w:pPr>
        <w:spacing w:after="60"/>
        <w:ind w:left="360"/>
        <w:contextualSpacing/>
        <w:rPr>
          <w:rFonts w:ascii="Garamond" w:hAnsi="Garamond"/>
          <w:b/>
          <w:bCs/>
          <w:smallCaps/>
          <w:color w:val="000000" w:themeColor="text1"/>
          <w:sz w:val="24"/>
          <w:szCs w:val="24"/>
        </w:rPr>
      </w:pPr>
    </w:p>
    <w:p w14:paraId="4660091B" w14:textId="07930F55" w:rsidR="00B911C9" w:rsidRPr="00F6522F" w:rsidRDefault="00B911C9" w:rsidP="00F6522F">
      <w:pPr>
        <w:spacing w:after="60"/>
        <w:ind w:left="360"/>
        <w:rPr>
          <w:rFonts w:ascii="Garamond" w:hAnsi="Garamond"/>
          <w:b/>
          <w:bCs/>
          <w:smallCaps/>
          <w:color w:val="000000" w:themeColor="text1"/>
          <w:sz w:val="24"/>
          <w:szCs w:val="24"/>
        </w:rPr>
      </w:pPr>
      <w:r w:rsidRPr="00F6522F">
        <w:rPr>
          <w:rFonts w:ascii="Garamond" w:hAnsi="Garamond"/>
          <w:b/>
          <w:bCs/>
          <w:smallCaps/>
          <w:color w:val="000000" w:themeColor="text1"/>
          <w:sz w:val="24"/>
          <w:szCs w:val="24"/>
        </w:rPr>
        <w:t xml:space="preserve">Litigating Antitrust Cases after Ohio v. Amex: Two-Sided Platforms and Beyond </w:t>
      </w:r>
    </w:p>
    <w:p w14:paraId="6D4A386F" w14:textId="12BD1BE9" w:rsidR="00B911C9" w:rsidRPr="00F6522F" w:rsidRDefault="00B911C9" w:rsidP="00F6522F">
      <w:pPr>
        <w:pStyle w:val="MediumGrid2-Accent11"/>
        <w:numPr>
          <w:ilvl w:val="0"/>
          <w:numId w:val="47"/>
        </w:numPr>
        <w:spacing w:after="60"/>
        <w:contextualSpacing/>
        <w:rPr>
          <w:rFonts w:ascii="Garamond" w:hAnsi="Garamond"/>
          <w:i/>
          <w:color w:val="000000" w:themeColor="text1"/>
          <w:sz w:val="24"/>
          <w:szCs w:val="24"/>
        </w:rPr>
      </w:pPr>
      <w:r w:rsidRPr="00F6522F">
        <w:rPr>
          <w:rFonts w:ascii="Garamond" w:hAnsi="Garamond"/>
          <w:color w:val="000000" w:themeColor="text1"/>
          <w:sz w:val="24"/>
          <w:szCs w:val="24"/>
        </w:rPr>
        <w:t xml:space="preserve">Jeffrey Lynch Harrison, </w:t>
      </w:r>
      <w:hyperlink r:id="rId8" w:history="1">
        <w:r w:rsidRPr="00F6522F">
          <w:rPr>
            <w:rStyle w:val="Hyperlink"/>
            <w:rFonts w:ascii="Garamond" w:hAnsi="Garamond"/>
            <w:i/>
            <w:color w:val="000000" w:themeColor="text1"/>
            <w:sz w:val="24"/>
            <w:szCs w:val="24"/>
          </w:rPr>
          <w:t xml:space="preserve">Ohio v. American Express: Misunderstanding Two-Sided Platforms, the Credit Card 'Market,' and the Need for </w:t>
        </w:r>
        <w:proofErr w:type="spellStart"/>
        <w:r w:rsidRPr="00F6522F">
          <w:rPr>
            <w:rStyle w:val="Hyperlink"/>
            <w:rFonts w:ascii="Garamond" w:hAnsi="Garamond"/>
            <w:i/>
            <w:color w:val="000000" w:themeColor="text1"/>
            <w:sz w:val="24"/>
            <w:szCs w:val="24"/>
          </w:rPr>
          <w:t>Procompetitive</w:t>
        </w:r>
        <w:proofErr w:type="spellEnd"/>
        <w:r w:rsidRPr="00F6522F">
          <w:rPr>
            <w:rStyle w:val="Hyperlink"/>
            <w:rFonts w:ascii="Garamond" w:hAnsi="Garamond"/>
            <w:i/>
            <w:color w:val="000000" w:themeColor="text1"/>
            <w:sz w:val="24"/>
            <w:szCs w:val="24"/>
          </w:rPr>
          <w:t xml:space="preserve"> Justifications</w:t>
        </w:r>
      </w:hyperlink>
      <w:r w:rsidR="003E01FC" w:rsidRPr="00F6522F">
        <w:rPr>
          <w:rFonts w:ascii="Garamond" w:hAnsi="Garamond"/>
          <w:color w:val="000000" w:themeColor="text1"/>
          <w:sz w:val="24"/>
          <w:szCs w:val="24"/>
        </w:rPr>
        <w:t xml:space="preserve"> (2018)</w:t>
      </w:r>
    </w:p>
    <w:p w14:paraId="5363DC2E" w14:textId="5255D497" w:rsidR="00B911C9" w:rsidRPr="00F6522F" w:rsidRDefault="00B911C9" w:rsidP="00F6522F">
      <w:pPr>
        <w:pStyle w:val="MediumGrid2-Accent11"/>
        <w:numPr>
          <w:ilvl w:val="0"/>
          <w:numId w:val="47"/>
        </w:numPr>
        <w:spacing w:after="60"/>
        <w:contextualSpacing/>
        <w:rPr>
          <w:rFonts w:ascii="Garamond" w:hAnsi="Garamond"/>
          <w:color w:val="000000" w:themeColor="text1"/>
          <w:sz w:val="24"/>
          <w:szCs w:val="24"/>
        </w:rPr>
      </w:pPr>
      <w:r w:rsidRPr="00F6522F">
        <w:rPr>
          <w:rFonts w:ascii="Garamond" w:hAnsi="Garamond"/>
          <w:color w:val="000000" w:themeColor="text1"/>
          <w:sz w:val="24"/>
          <w:szCs w:val="24"/>
        </w:rPr>
        <w:t xml:space="preserve">Michael Katz &amp; Jonathan </w:t>
      </w:r>
      <w:proofErr w:type="spellStart"/>
      <w:r w:rsidRPr="00F6522F">
        <w:rPr>
          <w:rFonts w:ascii="Garamond" w:hAnsi="Garamond"/>
          <w:color w:val="000000" w:themeColor="text1"/>
          <w:sz w:val="24"/>
          <w:szCs w:val="24"/>
        </w:rPr>
        <w:t>Sallet</w:t>
      </w:r>
      <w:proofErr w:type="spellEnd"/>
      <w:r w:rsidRPr="00F6522F">
        <w:rPr>
          <w:rFonts w:ascii="Garamond" w:hAnsi="Garamond"/>
          <w:color w:val="000000" w:themeColor="text1"/>
          <w:sz w:val="24"/>
          <w:szCs w:val="24"/>
        </w:rPr>
        <w:t xml:space="preserve">, </w:t>
      </w:r>
      <w:hyperlink r:id="rId9" w:history="1">
        <w:r w:rsidRPr="00F6522F">
          <w:rPr>
            <w:rStyle w:val="Hyperlink"/>
            <w:rFonts w:ascii="Garamond" w:hAnsi="Garamond"/>
            <w:i/>
            <w:color w:val="000000" w:themeColor="text1"/>
            <w:sz w:val="24"/>
            <w:szCs w:val="24"/>
          </w:rPr>
          <w:t>Multisided Platforms and Antitrust Enforcement</w:t>
        </w:r>
      </w:hyperlink>
      <w:r w:rsidRPr="00F6522F">
        <w:rPr>
          <w:rFonts w:ascii="Garamond" w:hAnsi="Garamond"/>
          <w:i/>
          <w:color w:val="000000" w:themeColor="text1"/>
          <w:sz w:val="24"/>
          <w:szCs w:val="24"/>
        </w:rPr>
        <w:t xml:space="preserve">, </w:t>
      </w:r>
      <w:r w:rsidRPr="00F6522F">
        <w:rPr>
          <w:rFonts w:ascii="Garamond" w:hAnsi="Garamond"/>
          <w:color w:val="000000" w:themeColor="text1"/>
          <w:sz w:val="24"/>
          <w:szCs w:val="24"/>
        </w:rPr>
        <w:t>Yale L. J. 2018 (forthcoming</w:t>
      </w:r>
      <w:r w:rsidR="00F6522F" w:rsidRPr="00F6522F">
        <w:rPr>
          <w:rFonts w:ascii="Garamond" w:hAnsi="Garamond"/>
          <w:color w:val="000000" w:themeColor="text1"/>
          <w:sz w:val="24"/>
          <w:szCs w:val="24"/>
        </w:rPr>
        <w:t>)</w:t>
      </w:r>
    </w:p>
    <w:p w14:paraId="3902B33E" w14:textId="2D527ABA" w:rsidR="00AD2B60" w:rsidRPr="00F6522F" w:rsidRDefault="00AD2B60" w:rsidP="00F6522F">
      <w:pPr>
        <w:pStyle w:val="MediumGrid2-Accent11"/>
        <w:numPr>
          <w:ilvl w:val="0"/>
          <w:numId w:val="47"/>
        </w:numPr>
        <w:spacing w:after="60"/>
        <w:contextualSpacing/>
        <w:rPr>
          <w:rFonts w:ascii="Garamond" w:hAnsi="Garamond"/>
          <w:color w:val="000000" w:themeColor="text1"/>
          <w:sz w:val="24"/>
          <w:szCs w:val="24"/>
        </w:rPr>
      </w:pPr>
      <w:r w:rsidRPr="00F6522F">
        <w:rPr>
          <w:rFonts w:ascii="Garamond" w:hAnsi="Garamond"/>
          <w:color w:val="000000" w:themeColor="text1"/>
          <w:sz w:val="24"/>
          <w:szCs w:val="24"/>
        </w:rPr>
        <w:t xml:space="preserve">Patrick Ward, </w:t>
      </w:r>
      <w:hyperlink r:id="rId10" w:history="1">
        <w:r w:rsidRPr="00F6522F">
          <w:rPr>
            <w:rStyle w:val="Hyperlink"/>
            <w:rFonts w:ascii="Garamond" w:hAnsi="Garamond"/>
            <w:i/>
            <w:color w:val="000000" w:themeColor="text1"/>
            <w:sz w:val="24"/>
            <w:szCs w:val="24"/>
          </w:rPr>
          <w:t>Testing for Multisided Platform Ef</w:t>
        </w:r>
        <w:r w:rsidRPr="00F6522F">
          <w:rPr>
            <w:rStyle w:val="Hyperlink"/>
            <w:rFonts w:ascii="Garamond" w:hAnsi="Garamond"/>
            <w:i/>
            <w:color w:val="000000" w:themeColor="text1"/>
            <w:sz w:val="24"/>
            <w:szCs w:val="24"/>
          </w:rPr>
          <w:t>f</w:t>
        </w:r>
        <w:r w:rsidRPr="00F6522F">
          <w:rPr>
            <w:rStyle w:val="Hyperlink"/>
            <w:rFonts w:ascii="Garamond" w:hAnsi="Garamond"/>
            <w:i/>
            <w:color w:val="000000" w:themeColor="text1"/>
            <w:sz w:val="24"/>
            <w:szCs w:val="24"/>
          </w:rPr>
          <w:t>ects in Antitrust Market Definition</w:t>
        </w:r>
      </w:hyperlink>
      <w:r w:rsidRPr="00F6522F">
        <w:rPr>
          <w:rFonts w:ascii="Garamond" w:hAnsi="Garamond"/>
          <w:color w:val="000000" w:themeColor="text1"/>
          <w:sz w:val="24"/>
          <w:szCs w:val="24"/>
        </w:rPr>
        <w:t>, 84 University of Chicago Law Review 2059 (2017)</w:t>
      </w:r>
    </w:p>
    <w:p w14:paraId="37A325E5" w14:textId="77777777" w:rsidR="00B911C9" w:rsidRPr="00F6522F" w:rsidRDefault="00B911C9" w:rsidP="00F6522F">
      <w:pPr>
        <w:spacing w:after="60"/>
        <w:ind w:left="360"/>
        <w:contextualSpacing/>
        <w:rPr>
          <w:rFonts w:ascii="Garamond" w:hAnsi="Garamond"/>
          <w:b/>
          <w:bCs/>
          <w:smallCaps/>
          <w:color w:val="000000" w:themeColor="text1"/>
          <w:sz w:val="24"/>
          <w:szCs w:val="24"/>
        </w:rPr>
      </w:pPr>
    </w:p>
    <w:p w14:paraId="5D7EF94E" w14:textId="77777777" w:rsidR="00F6522F" w:rsidRPr="00F6522F" w:rsidRDefault="00F6522F" w:rsidP="00F6522F">
      <w:pPr>
        <w:spacing w:after="60"/>
        <w:ind w:left="360"/>
        <w:contextualSpacing/>
        <w:rPr>
          <w:rFonts w:ascii="Garamond" w:hAnsi="Garamond"/>
          <w:b/>
          <w:bCs/>
          <w:smallCaps/>
          <w:color w:val="000000" w:themeColor="text1"/>
          <w:sz w:val="24"/>
          <w:szCs w:val="24"/>
        </w:rPr>
      </w:pPr>
    </w:p>
    <w:p w14:paraId="35440FE0" w14:textId="2FBFEFDE" w:rsidR="00B911C9" w:rsidRPr="00F6522F" w:rsidRDefault="00B911C9" w:rsidP="00F6522F">
      <w:pPr>
        <w:spacing w:after="60"/>
        <w:ind w:left="360"/>
        <w:rPr>
          <w:rFonts w:ascii="Garamond" w:hAnsi="Garamond"/>
          <w:b/>
          <w:bCs/>
          <w:smallCaps/>
          <w:color w:val="000000" w:themeColor="text1"/>
          <w:sz w:val="24"/>
          <w:szCs w:val="24"/>
        </w:rPr>
      </w:pPr>
      <w:r w:rsidRPr="00F6522F">
        <w:rPr>
          <w:rFonts w:ascii="Garamond" w:hAnsi="Garamond"/>
          <w:b/>
          <w:bCs/>
          <w:smallCaps/>
          <w:color w:val="000000" w:themeColor="text1"/>
          <w:sz w:val="24"/>
          <w:szCs w:val="24"/>
        </w:rPr>
        <w:t>What if Illinois Brick and Hanover Shoe were Overturned? Examining the Hypothetical Fallout and Exploring Alternative Solutions to Promote Deterrence and Compensation</w:t>
      </w:r>
    </w:p>
    <w:p w14:paraId="0F21DD9E" w14:textId="08ECC0D7" w:rsidR="00AD2B60" w:rsidRPr="00F6522F" w:rsidRDefault="00AD2B60" w:rsidP="00F6522F">
      <w:pPr>
        <w:pStyle w:val="MediumGrid2-Accent11"/>
        <w:numPr>
          <w:ilvl w:val="0"/>
          <w:numId w:val="46"/>
        </w:numPr>
        <w:spacing w:after="60"/>
        <w:contextualSpacing/>
        <w:rPr>
          <w:rFonts w:ascii="Garamond" w:hAnsi="Garamond"/>
          <w:color w:val="000000" w:themeColor="text1"/>
          <w:sz w:val="24"/>
          <w:szCs w:val="24"/>
        </w:rPr>
      </w:pPr>
      <w:r w:rsidRPr="00F6522F">
        <w:rPr>
          <w:rFonts w:ascii="Garamond" w:hAnsi="Garamond"/>
          <w:color w:val="000000" w:themeColor="text1"/>
          <w:sz w:val="24"/>
          <w:szCs w:val="24"/>
        </w:rPr>
        <w:t xml:space="preserve">Matthew M. Duffy, </w:t>
      </w:r>
      <w:hyperlink r:id="rId11" w:history="1">
        <w:r w:rsidRPr="00F6522F">
          <w:rPr>
            <w:rStyle w:val="Hyperlink"/>
            <w:rFonts w:ascii="Garamond" w:hAnsi="Garamond"/>
            <w:i/>
            <w:color w:val="000000" w:themeColor="text1"/>
            <w:sz w:val="24"/>
            <w:szCs w:val="24"/>
          </w:rPr>
          <w:t>Chipping Away at the Illinois Brick Wall: Expanding Exceptions to the Indirect Purchaser Rule</w:t>
        </w:r>
      </w:hyperlink>
      <w:r w:rsidRPr="00F6522F">
        <w:rPr>
          <w:rFonts w:ascii="Garamond" w:hAnsi="Garamond"/>
          <w:color w:val="000000" w:themeColor="text1"/>
          <w:sz w:val="24"/>
          <w:szCs w:val="24"/>
        </w:rPr>
        <w:t xml:space="preserve">, 87 </w:t>
      </w:r>
      <w:r w:rsidRPr="00F6522F">
        <w:rPr>
          <w:rFonts w:ascii="Garamond" w:hAnsi="Garamond"/>
          <w:smallCaps/>
          <w:color w:val="000000" w:themeColor="text1"/>
          <w:sz w:val="24"/>
          <w:szCs w:val="24"/>
        </w:rPr>
        <w:t>Notre Dame L. Rev.</w:t>
      </w:r>
      <w:r w:rsidRPr="00F6522F">
        <w:rPr>
          <w:rFonts w:ascii="Garamond" w:hAnsi="Garamond"/>
          <w:color w:val="000000" w:themeColor="text1"/>
          <w:sz w:val="24"/>
          <w:szCs w:val="24"/>
        </w:rPr>
        <w:t xml:space="preserve"> 1709 (2013)</w:t>
      </w:r>
    </w:p>
    <w:p w14:paraId="213FB6B0" w14:textId="14477F5C" w:rsidR="00AD2B60" w:rsidRPr="00F6522F" w:rsidRDefault="00AD2B60" w:rsidP="00F6522F">
      <w:pPr>
        <w:pStyle w:val="MediumGrid2-Accent11"/>
        <w:numPr>
          <w:ilvl w:val="0"/>
          <w:numId w:val="46"/>
        </w:numPr>
        <w:spacing w:after="60"/>
        <w:contextualSpacing/>
        <w:rPr>
          <w:rFonts w:ascii="Garamond" w:hAnsi="Garamond"/>
          <w:color w:val="000000" w:themeColor="text1"/>
          <w:sz w:val="24"/>
          <w:szCs w:val="24"/>
        </w:rPr>
      </w:pPr>
      <w:r w:rsidRPr="00F6522F">
        <w:rPr>
          <w:rFonts w:ascii="Garamond" w:hAnsi="Garamond"/>
          <w:color w:val="000000" w:themeColor="text1"/>
          <w:sz w:val="24"/>
          <w:szCs w:val="24"/>
        </w:rPr>
        <w:t xml:space="preserve">Christopher T. </w:t>
      </w:r>
      <w:proofErr w:type="spellStart"/>
      <w:r w:rsidRPr="00F6522F">
        <w:rPr>
          <w:rFonts w:ascii="Garamond" w:hAnsi="Garamond"/>
          <w:color w:val="000000" w:themeColor="text1"/>
          <w:sz w:val="24"/>
          <w:szCs w:val="24"/>
        </w:rPr>
        <w:t>Casamassima</w:t>
      </w:r>
      <w:proofErr w:type="spellEnd"/>
      <w:r w:rsidRPr="00F6522F">
        <w:rPr>
          <w:rFonts w:ascii="Garamond" w:hAnsi="Garamond"/>
          <w:color w:val="000000" w:themeColor="text1"/>
          <w:sz w:val="24"/>
          <w:szCs w:val="24"/>
        </w:rPr>
        <w:t xml:space="preserve"> &amp; Tammy A. </w:t>
      </w:r>
      <w:proofErr w:type="spellStart"/>
      <w:r w:rsidRPr="00F6522F">
        <w:rPr>
          <w:rFonts w:ascii="Garamond" w:hAnsi="Garamond"/>
          <w:color w:val="000000" w:themeColor="text1"/>
          <w:sz w:val="24"/>
          <w:szCs w:val="24"/>
        </w:rPr>
        <w:t>Tsoumas</w:t>
      </w:r>
      <w:proofErr w:type="spellEnd"/>
      <w:r w:rsidRPr="00F6522F">
        <w:rPr>
          <w:rFonts w:ascii="Garamond" w:hAnsi="Garamond"/>
          <w:color w:val="000000" w:themeColor="text1"/>
          <w:sz w:val="24"/>
          <w:szCs w:val="24"/>
        </w:rPr>
        <w:t xml:space="preserve">, </w:t>
      </w:r>
      <w:hyperlink r:id="rId12" w:history="1">
        <w:r w:rsidRPr="00F6522F">
          <w:rPr>
            <w:rStyle w:val="Hyperlink"/>
            <w:rFonts w:ascii="Garamond" w:hAnsi="Garamond"/>
            <w:i/>
            <w:color w:val="000000" w:themeColor="text1"/>
            <w:sz w:val="24"/>
            <w:szCs w:val="24"/>
          </w:rPr>
          <w:t>The Illinois Brick Wall: Standing Tall</w:t>
        </w:r>
      </w:hyperlink>
      <w:r w:rsidRPr="00F6522F">
        <w:rPr>
          <w:rFonts w:ascii="Garamond" w:hAnsi="Garamond"/>
          <w:color w:val="000000" w:themeColor="text1"/>
          <w:sz w:val="24"/>
          <w:szCs w:val="24"/>
        </w:rPr>
        <w:t>, 20 NO. 1 Competition: J. Anti. &amp; Unfair Comp. L. Sec. St. B. Cal. 67 (2011)</w:t>
      </w:r>
    </w:p>
    <w:p w14:paraId="7A51217F" w14:textId="7A51EBA1" w:rsidR="00F6522F" w:rsidRPr="00F6522F" w:rsidRDefault="00765327" w:rsidP="00F6522F">
      <w:pPr>
        <w:pStyle w:val="MediumGrid2-Accent11"/>
        <w:numPr>
          <w:ilvl w:val="0"/>
          <w:numId w:val="46"/>
        </w:numPr>
        <w:spacing w:after="60"/>
        <w:contextualSpacing/>
        <w:rPr>
          <w:rFonts w:ascii="Garamond" w:hAnsi="Garamond"/>
          <w:color w:val="000000" w:themeColor="text1"/>
          <w:sz w:val="24"/>
          <w:szCs w:val="24"/>
        </w:rPr>
      </w:pPr>
      <w:r w:rsidRPr="00F6522F">
        <w:rPr>
          <w:rFonts w:ascii="Garamond" w:hAnsi="Garamond"/>
          <w:color w:val="000000" w:themeColor="text1"/>
          <w:sz w:val="24"/>
          <w:szCs w:val="24"/>
        </w:rPr>
        <w:t xml:space="preserve">Barak D. Richman &amp; Christopher R. Murray, Richman and Murray, </w:t>
      </w:r>
      <w:hyperlink r:id="rId13" w:history="1">
        <w:r w:rsidRPr="00F6522F">
          <w:rPr>
            <w:rStyle w:val="Hyperlink"/>
            <w:rFonts w:ascii="Garamond" w:hAnsi="Garamond"/>
            <w:i/>
            <w:color w:val="000000" w:themeColor="text1"/>
            <w:sz w:val="24"/>
            <w:szCs w:val="24"/>
          </w:rPr>
          <w:t>Rebuilding Illinois Brick: A Functionalist Approach to the Indirect Purchaser Rule</w:t>
        </w:r>
      </w:hyperlink>
      <w:r w:rsidRPr="00F6522F">
        <w:rPr>
          <w:rFonts w:ascii="Garamond" w:hAnsi="Garamond"/>
          <w:color w:val="000000" w:themeColor="text1"/>
          <w:sz w:val="24"/>
          <w:szCs w:val="24"/>
        </w:rPr>
        <w:t>, 81 S. Cal. L. Rev. 69 (2007)</w:t>
      </w:r>
    </w:p>
    <w:p w14:paraId="2C822879" w14:textId="31066EC5" w:rsidR="00F6522F" w:rsidRPr="00F6522F" w:rsidRDefault="00F6522F" w:rsidP="00F6522F">
      <w:pPr>
        <w:pStyle w:val="MediumGrid2-Accent11"/>
        <w:numPr>
          <w:ilvl w:val="0"/>
          <w:numId w:val="46"/>
        </w:numPr>
        <w:spacing w:after="60"/>
        <w:contextualSpacing/>
        <w:rPr>
          <w:rFonts w:ascii="Garamond" w:hAnsi="Garamond"/>
          <w:color w:val="000000" w:themeColor="text1"/>
          <w:sz w:val="24"/>
          <w:szCs w:val="24"/>
        </w:rPr>
      </w:pPr>
      <w:r w:rsidRPr="00F6522F">
        <w:rPr>
          <w:rFonts w:ascii="Garamond" w:hAnsi="Garamond"/>
          <w:color w:val="000000" w:themeColor="text1"/>
          <w:sz w:val="24"/>
          <w:szCs w:val="24"/>
        </w:rPr>
        <w:t xml:space="preserve">Jay L. Himes, </w:t>
      </w:r>
      <w:hyperlink r:id="rId14" w:history="1">
        <w:r w:rsidRPr="00F6522F">
          <w:rPr>
            <w:rStyle w:val="Hyperlink"/>
            <w:rFonts w:ascii="Garamond" w:hAnsi="Garamond"/>
            <w:i/>
            <w:color w:val="000000" w:themeColor="text1"/>
            <w:sz w:val="24"/>
            <w:szCs w:val="24"/>
          </w:rPr>
          <w:t>Two Enforcers Separated by a Common Mission: Public and Private Attorneys General</w:t>
        </w:r>
      </w:hyperlink>
      <w:r w:rsidRPr="00F6522F">
        <w:rPr>
          <w:rFonts w:ascii="Garamond" w:hAnsi="Garamond"/>
          <w:color w:val="000000" w:themeColor="text1"/>
          <w:sz w:val="24"/>
          <w:szCs w:val="24"/>
        </w:rPr>
        <w:t>, The Federal Bar Council Class Actions – The Latest (March 4, 2008)</w:t>
      </w:r>
    </w:p>
    <w:p w14:paraId="7C16FAAB" w14:textId="77777777" w:rsidR="00B911C9" w:rsidRPr="00F6522F" w:rsidRDefault="00B911C9" w:rsidP="00F6522F">
      <w:pPr>
        <w:spacing w:after="60"/>
        <w:ind w:left="360"/>
        <w:contextualSpacing/>
        <w:rPr>
          <w:rFonts w:ascii="Garamond" w:hAnsi="Garamond"/>
          <w:b/>
          <w:bCs/>
          <w:smallCaps/>
          <w:color w:val="000000" w:themeColor="text1"/>
          <w:sz w:val="24"/>
          <w:szCs w:val="24"/>
        </w:rPr>
      </w:pPr>
    </w:p>
    <w:p w14:paraId="367AA015" w14:textId="77777777" w:rsidR="00F6522F" w:rsidRPr="00F6522F" w:rsidRDefault="00F6522F" w:rsidP="00F6522F">
      <w:pPr>
        <w:spacing w:after="60"/>
        <w:ind w:left="360"/>
        <w:contextualSpacing/>
        <w:rPr>
          <w:rFonts w:ascii="Garamond" w:hAnsi="Garamond"/>
          <w:b/>
          <w:bCs/>
          <w:smallCaps/>
          <w:color w:val="000000" w:themeColor="text1"/>
          <w:sz w:val="24"/>
          <w:szCs w:val="24"/>
        </w:rPr>
      </w:pPr>
    </w:p>
    <w:p w14:paraId="195C2371" w14:textId="77777777" w:rsidR="00F6522F" w:rsidRPr="00F6522F" w:rsidRDefault="00F6522F" w:rsidP="00F6522F">
      <w:pPr>
        <w:spacing w:after="60"/>
        <w:ind w:left="360"/>
        <w:contextualSpacing/>
        <w:rPr>
          <w:rFonts w:ascii="Garamond" w:hAnsi="Garamond"/>
          <w:b/>
          <w:bCs/>
          <w:smallCaps/>
          <w:color w:val="000000" w:themeColor="text1"/>
          <w:sz w:val="24"/>
          <w:szCs w:val="24"/>
        </w:rPr>
      </w:pPr>
    </w:p>
    <w:p w14:paraId="7EC86968" w14:textId="77777777" w:rsidR="00F6522F" w:rsidRPr="00F6522F" w:rsidRDefault="00F6522F" w:rsidP="00F6522F">
      <w:pPr>
        <w:spacing w:after="60"/>
        <w:ind w:left="360"/>
        <w:contextualSpacing/>
        <w:rPr>
          <w:rFonts w:ascii="Garamond" w:hAnsi="Garamond"/>
          <w:b/>
          <w:bCs/>
          <w:smallCaps/>
          <w:color w:val="000000" w:themeColor="text1"/>
          <w:sz w:val="24"/>
          <w:szCs w:val="24"/>
        </w:rPr>
      </w:pPr>
      <w:bookmarkStart w:id="0" w:name="_GoBack"/>
      <w:bookmarkEnd w:id="0"/>
    </w:p>
    <w:p w14:paraId="6980C64C" w14:textId="77777777" w:rsidR="00F6522F" w:rsidRPr="00F6522F" w:rsidRDefault="00F6522F" w:rsidP="00F6522F">
      <w:pPr>
        <w:spacing w:after="60"/>
        <w:ind w:left="360"/>
        <w:contextualSpacing/>
        <w:rPr>
          <w:rFonts w:ascii="Garamond" w:hAnsi="Garamond"/>
          <w:b/>
          <w:bCs/>
          <w:smallCaps/>
          <w:color w:val="000000" w:themeColor="text1"/>
          <w:sz w:val="24"/>
          <w:szCs w:val="24"/>
        </w:rPr>
      </w:pPr>
    </w:p>
    <w:p w14:paraId="0C4433D8" w14:textId="77777777" w:rsidR="00F6522F" w:rsidRPr="00F6522F" w:rsidRDefault="00F6522F" w:rsidP="00F6522F">
      <w:pPr>
        <w:spacing w:after="60"/>
        <w:ind w:left="360"/>
        <w:contextualSpacing/>
        <w:rPr>
          <w:rFonts w:ascii="Garamond" w:hAnsi="Garamond"/>
          <w:b/>
          <w:bCs/>
          <w:smallCaps/>
          <w:color w:val="000000" w:themeColor="text1"/>
          <w:sz w:val="24"/>
          <w:szCs w:val="24"/>
        </w:rPr>
      </w:pPr>
    </w:p>
    <w:p w14:paraId="2F859DF7" w14:textId="77777777" w:rsidR="00F6522F" w:rsidRPr="00F6522F" w:rsidRDefault="00F6522F" w:rsidP="00F6522F">
      <w:pPr>
        <w:spacing w:after="60"/>
        <w:ind w:left="360"/>
        <w:contextualSpacing/>
        <w:rPr>
          <w:rFonts w:ascii="Garamond" w:hAnsi="Garamond"/>
          <w:b/>
          <w:bCs/>
          <w:smallCaps/>
          <w:color w:val="000000" w:themeColor="text1"/>
          <w:sz w:val="24"/>
          <w:szCs w:val="24"/>
        </w:rPr>
      </w:pPr>
    </w:p>
    <w:p w14:paraId="3409E4EC" w14:textId="77777777" w:rsidR="00F6522F" w:rsidRPr="00F6522F" w:rsidRDefault="00F6522F" w:rsidP="00F6522F">
      <w:pPr>
        <w:spacing w:after="60"/>
        <w:ind w:left="360"/>
        <w:contextualSpacing/>
        <w:rPr>
          <w:rFonts w:ascii="Garamond" w:hAnsi="Garamond"/>
          <w:b/>
          <w:bCs/>
          <w:smallCaps/>
          <w:color w:val="000000" w:themeColor="text1"/>
          <w:sz w:val="24"/>
          <w:szCs w:val="24"/>
        </w:rPr>
      </w:pPr>
    </w:p>
    <w:p w14:paraId="7AA0038E" w14:textId="77777777" w:rsidR="00F6522F" w:rsidRPr="00F6522F" w:rsidRDefault="00F6522F" w:rsidP="00F6522F">
      <w:pPr>
        <w:spacing w:after="60"/>
        <w:ind w:left="360"/>
        <w:contextualSpacing/>
        <w:rPr>
          <w:rFonts w:ascii="Garamond" w:hAnsi="Garamond"/>
          <w:b/>
          <w:bCs/>
          <w:smallCaps/>
          <w:color w:val="000000" w:themeColor="text1"/>
          <w:sz w:val="24"/>
          <w:szCs w:val="24"/>
        </w:rPr>
      </w:pPr>
    </w:p>
    <w:p w14:paraId="3047E811" w14:textId="77777777" w:rsidR="00F6522F" w:rsidRPr="00F6522F" w:rsidRDefault="00F6522F" w:rsidP="00F6522F">
      <w:pPr>
        <w:spacing w:after="60"/>
        <w:ind w:left="360"/>
        <w:contextualSpacing/>
        <w:rPr>
          <w:rFonts w:ascii="Garamond" w:hAnsi="Garamond"/>
          <w:b/>
          <w:bCs/>
          <w:smallCaps/>
          <w:color w:val="000000" w:themeColor="text1"/>
          <w:sz w:val="24"/>
          <w:szCs w:val="24"/>
        </w:rPr>
      </w:pPr>
    </w:p>
    <w:p w14:paraId="189B6A89" w14:textId="7161F621" w:rsidR="00B911C9" w:rsidRPr="00F6522F" w:rsidRDefault="00B911C9" w:rsidP="00F6522F">
      <w:pPr>
        <w:spacing w:after="60"/>
        <w:ind w:left="360"/>
        <w:rPr>
          <w:rFonts w:ascii="Garamond" w:hAnsi="Garamond"/>
          <w:b/>
          <w:bCs/>
          <w:smallCaps/>
          <w:color w:val="000000" w:themeColor="text1"/>
          <w:sz w:val="24"/>
          <w:szCs w:val="24"/>
        </w:rPr>
      </w:pPr>
      <w:r w:rsidRPr="00F6522F">
        <w:rPr>
          <w:rFonts w:ascii="Garamond" w:hAnsi="Garamond"/>
          <w:b/>
          <w:bCs/>
          <w:smallCaps/>
          <w:color w:val="000000" w:themeColor="text1"/>
          <w:sz w:val="24"/>
          <w:szCs w:val="24"/>
        </w:rPr>
        <w:t>Mock Class Certification/</w:t>
      </w:r>
      <w:proofErr w:type="spellStart"/>
      <w:r w:rsidRPr="00F6522F">
        <w:rPr>
          <w:rFonts w:ascii="Garamond" w:hAnsi="Garamond"/>
          <w:b/>
          <w:bCs/>
          <w:smallCaps/>
          <w:color w:val="000000" w:themeColor="text1"/>
          <w:sz w:val="24"/>
          <w:szCs w:val="24"/>
        </w:rPr>
        <w:t>Daubert</w:t>
      </w:r>
      <w:proofErr w:type="spellEnd"/>
      <w:r w:rsidRPr="00F6522F">
        <w:rPr>
          <w:rFonts w:ascii="Garamond" w:hAnsi="Garamond"/>
          <w:b/>
          <w:bCs/>
          <w:smallCaps/>
          <w:color w:val="000000" w:themeColor="text1"/>
          <w:sz w:val="24"/>
          <w:szCs w:val="24"/>
        </w:rPr>
        <w:t xml:space="preserve"> Hearing in an Antitrust Class Action: A Demonstration and Discussion of Best Practices for Direct &amp; Cross of Experts </w:t>
      </w:r>
    </w:p>
    <w:p w14:paraId="2F818542" w14:textId="762D6B12" w:rsidR="003E01FC" w:rsidRPr="00F6522F" w:rsidRDefault="003E01FC" w:rsidP="00F6522F">
      <w:pPr>
        <w:pStyle w:val="ListParagraph"/>
        <w:numPr>
          <w:ilvl w:val="0"/>
          <w:numId w:val="45"/>
        </w:numPr>
        <w:spacing w:after="60"/>
        <w:rPr>
          <w:rFonts w:ascii="Garamond" w:eastAsia="Calibri" w:hAnsi="Garamond"/>
          <w:color w:val="000000" w:themeColor="text1"/>
          <w:kern w:val="0"/>
          <w:sz w:val="24"/>
          <w:szCs w:val="24"/>
        </w:rPr>
      </w:pPr>
      <w:r w:rsidRPr="00F6522F">
        <w:rPr>
          <w:rFonts w:ascii="Garamond" w:eastAsia="Calibri" w:hAnsi="Garamond"/>
          <w:color w:val="000000" w:themeColor="text1"/>
          <w:kern w:val="0"/>
          <w:sz w:val="24"/>
          <w:szCs w:val="24"/>
        </w:rPr>
        <w:t xml:space="preserve">Linda S. </w:t>
      </w:r>
      <w:proofErr w:type="spellStart"/>
      <w:r w:rsidRPr="00F6522F">
        <w:rPr>
          <w:rFonts w:ascii="Garamond" w:eastAsia="Calibri" w:hAnsi="Garamond"/>
          <w:color w:val="000000" w:themeColor="text1"/>
          <w:kern w:val="0"/>
          <w:sz w:val="24"/>
          <w:szCs w:val="24"/>
        </w:rPr>
        <w:t>Mullenix</w:t>
      </w:r>
      <w:proofErr w:type="spellEnd"/>
      <w:r w:rsidRPr="00F6522F">
        <w:rPr>
          <w:rFonts w:ascii="Garamond" w:eastAsia="Calibri" w:hAnsi="Garamond"/>
          <w:color w:val="000000" w:themeColor="text1"/>
          <w:kern w:val="0"/>
          <w:sz w:val="24"/>
          <w:szCs w:val="24"/>
        </w:rPr>
        <w:t xml:space="preserve">, </w:t>
      </w:r>
      <w:hyperlink r:id="rId15" w:history="1">
        <w:r w:rsidRPr="00F6522F">
          <w:rPr>
            <w:rStyle w:val="Hyperlink"/>
            <w:rFonts w:ascii="Garamond" w:eastAsia="Calibri" w:hAnsi="Garamond"/>
            <w:i/>
            <w:color w:val="000000" w:themeColor="text1"/>
            <w:kern w:val="0"/>
            <w:sz w:val="24"/>
            <w:szCs w:val="24"/>
          </w:rPr>
          <w:t>Putting Proponents to Their Proof: Evidentiary Rules at a Class Certification</w:t>
        </w:r>
      </w:hyperlink>
      <w:r w:rsidRPr="00F6522F">
        <w:rPr>
          <w:rFonts w:ascii="Garamond" w:eastAsia="Calibri" w:hAnsi="Garamond"/>
          <w:color w:val="000000" w:themeColor="text1"/>
          <w:kern w:val="0"/>
          <w:sz w:val="24"/>
          <w:szCs w:val="24"/>
        </w:rPr>
        <w:t xml:space="preserve">, 82 </w:t>
      </w:r>
      <w:r w:rsidRPr="00F6522F">
        <w:rPr>
          <w:rFonts w:ascii="Garamond" w:eastAsia="Calibri" w:hAnsi="Garamond"/>
          <w:smallCaps/>
          <w:color w:val="000000" w:themeColor="text1"/>
          <w:kern w:val="0"/>
          <w:sz w:val="24"/>
          <w:szCs w:val="24"/>
        </w:rPr>
        <w:t>Geo. Wash. L. Rev.</w:t>
      </w:r>
      <w:r w:rsidRPr="00F6522F">
        <w:rPr>
          <w:rFonts w:ascii="Garamond" w:eastAsia="Calibri" w:hAnsi="Garamond"/>
          <w:color w:val="000000" w:themeColor="text1"/>
          <w:kern w:val="0"/>
          <w:sz w:val="24"/>
          <w:szCs w:val="24"/>
        </w:rPr>
        <w:t xml:space="preserve"> 606 (2014)</w:t>
      </w:r>
    </w:p>
    <w:p w14:paraId="71A5947D" w14:textId="2D834DE3" w:rsidR="00F6522F" w:rsidRPr="00F6522F" w:rsidRDefault="003E01FC" w:rsidP="00F6522F">
      <w:pPr>
        <w:pStyle w:val="ListParagraph"/>
        <w:numPr>
          <w:ilvl w:val="0"/>
          <w:numId w:val="45"/>
        </w:numPr>
        <w:spacing w:after="60"/>
        <w:rPr>
          <w:rFonts w:ascii="Garamond" w:eastAsia="Calibri" w:hAnsi="Garamond"/>
          <w:color w:val="000000" w:themeColor="text1"/>
          <w:kern w:val="0"/>
          <w:sz w:val="24"/>
          <w:szCs w:val="24"/>
        </w:rPr>
      </w:pPr>
      <w:r w:rsidRPr="00F6522F">
        <w:rPr>
          <w:rFonts w:ascii="Garamond" w:eastAsia="Calibri" w:hAnsi="Garamond"/>
          <w:color w:val="000000" w:themeColor="text1"/>
          <w:kern w:val="0"/>
          <w:sz w:val="24"/>
          <w:szCs w:val="24"/>
        </w:rPr>
        <w:t>Joshua P. Davis &amp; Eric L. Cramer, </w:t>
      </w:r>
      <w:hyperlink r:id="rId16" w:history="1">
        <w:r w:rsidRPr="00F6522F">
          <w:rPr>
            <w:rStyle w:val="Hyperlink"/>
            <w:rFonts w:ascii="Garamond" w:eastAsia="Calibri" w:hAnsi="Garamond"/>
            <w:i/>
            <w:color w:val="000000" w:themeColor="text1"/>
            <w:kern w:val="0"/>
            <w:sz w:val="24"/>
            <w:szCs w:val="24"/>
          </w:rPr>
          <w:t>Antitrust, Class Certification, and the Politics of Procedure</w:t>
        </w:r>
      </w:hyperlink>
      <w:r w:rsidRPr="00F6522F">
        <w:rPr>
          <w:rFonts w:ascii="Garamond" w:eastAsia="Calibri" w:hAnsi="Garamond"/>
          <w:color w:val="000000" w:themeColor="text1"/>
          <w:kern w:val="0"/>
          <w:sz w:val="24"/>
          <w:szCs w:val="24"/>
        </w:rPr>
        <w:t xml:space="preserve">, 17 </w:t>
      </w:r>
      <w:r w:rsidRPr="00F6522F">
        <w:rPr>
          <w:rFonts w:ascii="Garamond" w:eastAsia="Calibri" w:hAnsi="Garamond"/>
          <w:smallCaps/>
          <w:color w:val="000000" w:themeColor="text1"/>
          <w:kern w:val="0"/>
          <w:sz w:val="24"/>
          <w:szCs w:val="24"/>
        </w:rPr>
        <w:t>Geo. Mason L. Rev.</w:t>
      </w:r>
      <w:r w:rsidRPr="00F6522F">
        <w:rPr>
          <w:rFonts w:ascii="Garamond" w:eastAsia="Calibri" w:hAnsi="Garamond"/>
          <w:color w:val="000000" w:themeColor="text1"/>
          <w:kern w:val="0"/>
          <w:sz w:val="24"/>
          <w:szCs w:val="24"/>
        </w:rPr>
        <w:t xml:space="preserve"> 969, 1033 (2010)</w:t>
      </w:r>
    </w:p>
    <w:p w14:paraId="7A0991B3" w14:textId="5EFE91D3" w:rsidR="003E01FC" w:rsidRPr="00F6522F" w:rsidRDefault="003E01FC" w:rsidP="00F6522F">
      <w:pPr>
        <w:pStyle w:val="ListParagraph"/>
        <w:numPr>
          <w:ilvl w:val="0"/>
          <w:numId w:val="45"/>
        </w:numPr>
        <w:spacing w:after="60"/>
        <w:rPr>
          <w:rFonts w:ascii="Garamond" w:eastAsia="Calibri" w:hAnsi="Garamond"/>
          <w:color w:val="000000" w:themeColor="text1"/>
          <w:kern w:val="0"/>
          <w:sz w:val="24"/>
          <w:szCs w:val="24"/>
        </w:rPr>
      </w:pPr>
      <w:r w:rsidRPr="00F6522F">
        <w:rPr>
          <w:rFonts w:ascii="Garamond" w:eastAsia="Calibri" w:hAnsi="Garamond"/>
          <w:color w:val="000000" w:themeColor="text1"/>
          <w:kern w:val="0"/>
          <w:sz w:val="24"/>
          <w:szCs w:val="24"/>
        </w:rPr>
        <w:t xml:space="preserve">Heather P. Scribner, </w:t>
      </w:r>
      <w:hyperlink r:id="rId17" w:history="1">
        <w:r w:rsidRPr="00F6522F">
          <w:rPr>
            <w:rStyle w:val="Hyperlink"/>
            <w:rFonts w:ascii="Garamond" w:eastAsia="Calibri" w:hAnsi="Garamond"/>
            <w:i/>
            <w:color w:val="000000" w:themeColor="text1"/>
            <w:kern w:val="0"/>
            <w:sz w:val="24"/>
            <w:szCs w:val="24"/>
          </w:rPr>
          <w:t xml:space="preserve">Rigorous Analysis of the Class Certification Expert: The Roles of </w:t>
        </w:r>
        <w:proofErr w:type="spellStart"/>
        <w:r w:rsidRPr="00F6522F">
          <w:rPr>
            <w:rStyle w:val="Hyperlink"/>
            <w:rFonts w:ascii="Garamond" w:eastAsia="Calibri" w:hAnsi="Garamond"/>
            <w:i/>
            <w:color w:val="000000" w:themeColor="text1"/>
            <w:kern w:val="0"/>
            <w:sz w:val="24"/>
            <w:szCs w:val="24"/>
          </w:rPr>
          <w:t>Daubert</w:t>
        </w:r>
        <w:proofErr w:type="spellEnd"/>
        <w:r w:rsidRPr="00F6522F">
          <w:rPr>
            <w:rStyle w:val="Hyperlink"/>
            <w:rFonts w:ascii="Garamond" w:eastAsia="Calibri" w:hAnsi="Garamond"/>
            <w:i/>
            <w:color w:val="000000" w:themeColor="text1"/>
            <w:kern w:val="0"/>
            <w:sz w:val="24"/>
            <w:szCs w:val="24"/>
          </w:rPr>
          <w:t xml:space="preserve"> and the Defendant's Proof</w:t>
        </w:r>
      </w:hyperlink>
      <w:r w:rsidRPr="00F6522F">
        <w:rPr>
          <w:rFonts w:ascii="Garamond" w:eastAsia="Calibri" w:hAnsi="Garamond"/>
          <w:color w:val="000000" w:themeColor="text1"/>
          <w:kern w:val="0"/>
          <w:sz w:val="24"/>
          <w:szCs w:val="24"/>
        </w:rPr>
        <w:t xml:space="preserve">, 28 </w:t>
      </w:r>
      <w:r w:rsidRPr="00F6522F">
        <w:rPr>
          <w:rFonts w:ascii="Garamond" w:eastAsia="Calibri" w:hAnsi="Garamond"/>
          <w:smallCaps/>
          <w:color w:val="000000" w:themeColor="text1"/>
          <w:kern w:val="0"/>
          <w:sz w:val="24"/>
          <w:szCs w:val="24"/>
        </w:rPr>
        <w:t xml:space="preserve">Rev. </w:t>
      </w:r>
      <w:proofErr w:type="spellStart"/>
      <w:r w:rsidRPr="00F6522F">
        <w:rPr>
          <w:rFonts w:ascii="Garamond" w:eastAsia="Calibri" w:hAnsi="Garamond"/>
          <w:smallCaps/>
          <w:color w:val="000000" w:themeColor="text1"/>
          <w:kern w:val="0"/>
          <w:sz w:val="24"/>
          <w:szCs w:val="24"/>
        </w:rPr>
        <w:t>Litig</w:t>
      </w:r>
      <w:proofErr w:type="spellEnd"/>
      <w:r w:rsidRPr="00F6522F">
        <w:rPr>
          <w:rFonts w:ascii="Garamond" w:eastAsia="Calibri" w:hAnsi="Garamond"/>
          <w:smallCaps/>
          <w:color w:val="000000" w:themeColor="text1"/>
          <w:kern w:val="0"/>
          <w:sz w:val="24"/>
          <w:szCs w:val="24"/>
        </w:rPr>
        <w:t>.</w:t>
      </w:r>
      <w:r w:rsidR="00F6522F" w:rsidRPr="00F6522F">
        <w:rPr>
          <w:rFonts w:ascii="Garamond" w:eastAsia="Calibri" w:hAnsi="Garamond"/>
          <w:color w:val="000000" w:themeColor="text1"/>
          <w:kern w:val="0"/>
          <w:sz w:val="24"/>
          <w:szCs w:val="24"/>
        </w:rPr>
        <w:t xml:space="preserve"> 71, 106 (2008)</w:t>
      </w:r>
    </w:p>
    <w:p w14:paraId="78362405" w14:textId="77777777" w:rsidR="00B911C9" w:rsidRPr="00F6522F" w:rsidRDefault="00B911C9" w:rsidP="00F6522F">
      <w:pPr>
        <w:spacing w:after="60"/>
        <w:ind w:left="360"/>
        <w:contextualSpacing/>
        <w:rPr>
          <w:rFonts w:ascii="Garamond" w:hAnsi="Garamond"/>
          <w:b/>
          <w:bCs/>
          <w:smallCaps/>
          <w:color w:val="000000" w:themeColor="text1"/>
          <w:sz w:val="24"/>
          <w:szCs w:val="24"/>
        </w:rPr>
      </w:pPr>
    </w:p>
    <w:p w14:paraId="519EA7A5" w14:textId="77777777" w:rsidR="00F6522F" w:rsidRPr="00F6522F" w:rsidRDefault="00F6522F" w:rsidP="00F6522F">
      <w:pPr>
        <w:spacing w:after="60"/>
        <w:ind w:left="360"/>
        <w:contextualSpacing/>
        <w:rPr>
          <w:rFonts w:ascii="Garamond" w:hAnsi="Garamond"/>
          <w:b/>
          <w:bCs/>
          <w:smallCaps/>
          <w:color w:val="000000" w:themeColor="text1"/>
          <w:sz w:val="24"/>
          <w:szCs w:val="24"/>
        </w:rPr>
      </w:pPr>
    </w:p>
    <w:p w14:paraId="5010DB49" w14:textId="4443079D" w:rsidR="00B911C9" w:rsidRPr="00F6522F" w:rsidRDefault="00B911C9" w:rsidP="00F6522F">
      <w:pPr>
        <w:spacing w:after="60"/>
        <w:ind w:left="360"/>
        <w:rPr>
          <w:rFonts w:ascii="Garamond" w:hAnsi="Garamond"/>
          <w:b/>
          <w:bCs/>
          <w:smallCaps/>
          <w:color w:val="000000" w:themeColor="text1"/>
          <w:sz w:val="24"/>
          <w:szCs w:val="24"/>
        </w:rPr>
      </w:pPr>
      <w:r w:rsidRPr="00F6522F">
        <w:rPr>
          <w:rFonts w:ascii="Garamond" w:hAnsi="Garamond"/>
          <w:b/>
          <w:bCs/>
          <w:smallCaps/>
          <w:color w:val="000000" w:themeColor="text1"/>
          <w:sz w:val="24"/>
          <w:szCs w:val="24"/>
        </w:rPr>
        <w:t>Private Antitrust Enforcement and the New Supreme Court</w:t>
      </w:r>
    </w:p>
    <w:p w14:paraId="22D5A5F9" w14:textId="071B50D3" w:rsidR="003E01FC" w:rsidRPr="00F6522F" w:rsidRDefault="003E01FC" w:rsidP="00F6522F">
      <w:pPr>
        <w:pStyle w:val="ListParagraph"/>
        <w:numPr>
          <w:ilvl w:val="0"/>
          <w:numId w:val="44"/>
        </w:numPr>
        <w:spacing w:after="60"/>
        <w:rPr>
          <w:rFonts w:ascii="Garamond" w:eastAsia="Calibri" w:hAnsi="Garamond"/>
          <w:color w:val="000000" w:themeColor="text1"/>
          <w:kern w:val="0"/>
          <w:sz w:val="24"/>
          <w:szCs w:val="24"/>
        </w:rPr>
      </w:pPr>
      <w:r w:rsidRPr="00F6522F">
        <w:rPr>
          <w:rFonts w:ascii="Garamond" w:eastAsia="Calibri" w:hAnsi="Garamond"/>
          <w:color w:val="000000" w:themeColor="text1"/>
          <w:kern w:val="0"/>
          <w:sz w:val="24"/>
          <w:szCs w:val="24"/>
        </w:rPr>
        <w:t xml:space="preserve">Robert H. </w:t>
      </w:r>
      <w:proofErr w:type="spellStart"/>
      <w:r w:rsidRPr="00F6522F">
        <w:rPr>
          <w:rFonts w:ascii="Garamond" w:eastAsia="Calibri" w:hAnsi="Garamond"/>
          <w:color w:val="000000" w:themeColor="text1"/>
          <w:kern w:val="0"/>
          <w:sz w:val="24"/>
          <w:szCs w:val="24"/>
        </w:rPr>
        <w:t>Lande</w:t>
      </w:r>
      <w:proofErr w:type="spellEnd"/>
      <w:r w:rsidRPr="00F6522F">
        <w:rPr>
          <w:rFonts w:ascii="Garamond" w:eastAsia="Calibri" w:hAnsi="Garamond"/>
          <w:color w:val="000000" w:themeColor="text1"/>
          <w:kern w:val="0"/>
          <w:sz w:val="24"/>
          <w:szCs w:val="24"/>
        </w:rPr>
        <w:t xml:space="preserve"> &amp; Joshua P. Davis, </w:t>
      </w:r>
      <w:hyperlink r:id="rId18" w:history="1">
        <w:r w:rsidRPr="00F6522F">
          <w:rPr>
            <w:rStyle w:val="Hyperlink"/>
            <w:rFonts w:ascii="Garamond" w:eastAsia="Calibri" w:hAnsi="Garamond"/>
            <w:i/>
            <w:color w:val="000000" w:themeColor="text1"/>
            <w:kern w:val="0"/>
            <w:sz w:val="24"/>
            <w:szCs w:val="24"/>
          </w:rPr>
          <w:t>Restoring the Legitimacy of Private Antitrust Enforcement</w:t>
        </w:r>
      </w:hyperlink>
      <w:r w:rsidRPr="00F6522F">
        <w:rPr>
          <w:rFonts w:ascii="Garamond" w:eastAsia="Calibri" w:hAnsi="Garamond"/>
          <w:color w:val="000000" w:themeColor="text1"/>
          <w:kern w:val="0"/>
          <w:sz w:val="24"/>
          <w:szCs w:val="24"/>
        </w:rPr>
        <w:t xml:space="preserve"> (May 3, 2017) (American Antitrust Institute, 2017 Forthcoming)</w:t>
      </w:r>
    </w:p>
    <w:p w14:paraId="794CF920" w14:textId="616C14D2" w:rsidR="003E01FC" w:rsidRPr="00F6522F" w:rsidRDefault="003E01FC" w:rsidP="00F6522F">
      <w:pPr>
        <w:pStyle w:val="ListParagraph"/>
        <w:numPr>
          <w:ilvl w:val="0"/>
          <w:numId w:val="44"/>
        </w:numPr>
        <w:spacing w:after="60"/>
        <w:rPr>
          <w:rFonts w:ascii="Garamond" w:eastAsia="Calibri" w:hAnsi="Garamond"/>
          <w:color w:val="000000" w:themeColor="text1"/>
          <w:kern w:val="0"/>
          <w:sz w:val="24"/>
          <w:szCs w:val="24"/>
        </w:rPr>
      </w:pPr>
      <w:r w:rsidRPr="00F6522F">
        <w:rPr>
          <w:rFonts w:ascii="Garamond" w:eastAsia="Calibri" w:hAnsi="Garamond"/>
          <w:color w:val="000000" w:themeColor="text1"/>
          <w:kern w:val="0"/>
          <w:sz w:val="24"/>
          <w:szCs w:val="24"/>
        </w:rPr>
        <w:t xml:space="preserve">Joshua P. Davis &amp; Robert H. </w:t>
      </w:r>
      <w:proofErr w:type="spellStart"/>
      <w:r w:rsidRPr="00F6522F">
        <w:rPr>
          <w:rFonts w:ascii="Garamond" w:eastAsia="Calibri" w:hAnsi="Garamond"/>
          <w:color w:val="000000" w:themeColor="text1"/>
          <w:kern w:val="0"/>
          <w:sz w:val="24"/>
          <w:szCs w:val="24"/>
        </w:rPr>
        <w:t>Lande</w:t>
      </w:r>
      <w:proofErr w:type="spellEnd"/>
      <w:r w:rsidRPr="00F6522F">
        <w:rPr>
          <w:rFonts w:ascii="Garamond" w:eastAsia="Calibri" w:hAnsi="Garamond"/>
          <w:color w:val="000000" w:themeColor="text1"/>
          <w:kern w:val="0"/>
          <w:sz w:val="24"/>
          <w:szCs w:val="24"/>
        </w:rPr>
        <w:t>, </w:t>
      </w:r>
      <w:hyperlink r:id="rId19" w:history="1">
        <w:r w:rsidRPr="00F6522F">
          <w:rPr>
            <w:rStyle w:val="Hyperlink"/>
            <w:rFonts w:ascii="Garamond" w:eastAsia="Calibri" w:hAnsi="Garamond"/>
            <w:i/>
            <w:color w:val="000000" w:themeColor="text1"/>
            <w:kern w:val="0"/>
            <w:sz w:val="24"/>
            <w:szCs w:val="24"/>
          </w:rPr>
          <w:t>Toward an Empirical and Theoretical Assessment of Private Antitrust Enforcement</w:t>
        </w:r>
      </w:hyperlink>
      <w:r w:rsidRPr="00F6522F">
        <w:rPr>
          <w:rFonts w:ascii="Garamond" w:eastAsia="Calibri" w:hAnsi="Garamond"/>
          <w:color w:val="000000" w:themeColor="text1"/>
          <w:kern w:val="0"/>
          <w:sz w:val="24"/>
          <w:szCs w:val="24"/>
        </w:rPr>
        <w:t xml:space="preserve">, 36 Seattle </w:t>
      </w:r>
      <w:r w:rsidRPr="00F6522F">
        <w:rPr>
          <w:rFonts w:ascii="Garamond" w:eastAsia="Calibri" w:hAnsi="Garamond"/>
          <w:smallCaps/>
          <w:color w:val="000000" w:themeColor="text1"/>
          <w:kern w:val="0"/>
          <w:sz w:val="24"/>
          <w:szCs w:val="24"/>
        </w:rPr>
        <w:t>U. L. Rev.</w:t>
      </w:r>
      <w:r w:rsidRPr="00F6522F">
        <w:rPr>
          <w:rFonts w:ascii="Garamond" w:eastAsia="Calibri" w:hAnsi="Garamond"/>
          <w:color w:val="000000" w:themeColor="text1"/>
          <w:kern w:val="0"/>
          <w:sz w:val="24"/>
          <w:szCs w:val="24"/>
        </w:rPr>
        <w:t xml:space="preserve"> 1269 (2013)</w:t>
      </w:r>
    </w:p>
    <w:p w14:paraId="18FE3F42" w14:textId="50E8F1BF" w:rsidR="003E01FC" w:rsidRPr="00F6522F" w:rsidRDefault="003E01FC" w:rsidP="00F6522F">
      <w:pPr>
        <w:pStyle w:val="ListParagraph"/>
        <w:numPr>
          <w:ilvl w:val="0"/>
          <w:numId w:val="44"/>
        </w:numPr>
        <w:spacing w:after="60"/>
        <w:rPr>
          <w:rFonts w:ascii="Garamond" w:eastAsia="Calibri" w:hAnsi="Garamond"/>
          <w:color w:val="000000" w:themeColor="text1"/>
          <w:kern w:val="0"/>
          <w:sz w:val="24"/>
          <w:szCs w:val="24"/>
        </w:rPr>
      </w:pPr>
      <w:r w:rsidRPr="00F6522F">
        <w:rPr>
          <w:rFonts w:ascii="Garamond" w:eastAsia="Calibri" w:hAnsi="Garamond"/>
          <w:color w:val="000000" w:themeColor="text1"/>
          <w:kern w:val="0"/>
          <w:sz w:val="24"/>
          <w:szCs w:val="24"/>
        </w:rPr>
        <w:t>Daniel A. Crane, </w:t>
      </w:r>
      <w:hyperlink r:id="rId20" w:history="1">
        <w:r w:rsidRPr="00F6522F">
          <w:rPr>
            <w:rStyle w:val="Hyperlink"/>
            <w:rFonts w:ascii="Garamond" w:eastAsia="Calibri" w:hAnsi="Garamond"/>
            <w:i/>
            <w:color w:val="000000" w:themeColor="text1"/>
            <w:kern w:val="0"/>
            <w:sz w:val="24"/>
            <w:szCs w:val="24"/>
          </w:rPr>
          <w:t>Optimizing Private Antitrust Enforcement</w:t>
        </w:r>
      </w:hyperlink>
      <w:r w:rsidRPr="00F6522F">
        <w:rPr>
          <w:rFonts w:ascii="Garamond" w:eastAsia="Calibri" w:hAnsi="Garamond"/>
          <w:color w:val="000000" w:themeColor="text1"/>
          <w:kern w:val="0"/>
          <w:sz w:val="24"/>
          <w:szCs w:val="24"/>
        </w:rPr>
        <w:t xml:space="preserve">, 63 </w:t>
      </w:r>
      <w:proofErr w:type="spellStart"/>
      <w:r w:rsidRPr="00F6522F">
        <w:rPr>
          <w:rFonts w:ascii="Garamond" w:eastAsia="Calibri" w:hAnsi="Garamond"/>
          <w:smallCaps/>
          <w:color w:val="000000" w:themeColor="text1"/>
          <w:kern w:val="0"/>
          <w:sz w:val="24"/>
          <w:szCs w:val="24"/>
        </w:rPr>
        <w:t>Vand</w:t>
      </w:r>
      <w:proofErr w:type="spellEnd"/>
      <w:r w:rsidRPr="00F6522F">
        <w:rPr>
          <w:rFonts w:ascii="Garamond" w:eastAsia="Calibri" w:hAnsi="Garamond"/>
          <w:smallCaps/>
          <w:color w:val="000000" w:themeColor="text1"/>
          <w:kern w:val="0"/>
          <w:sz w:val="24"/>
          <w:szCs w:val="24"/>
        </w:rPr>
        <w:t>. L. Rev.</w:t>
      </w:r>
      <w:r w:rsidRPr="00F6522F">
        <w:rPr>
          <w:rFonts w:ascii="Garamond" w:eastAsia="Calibri" w:hAnsi="Garamond"/>
          <w:color w:val="000000" w:themeColor="text1"/>
          <w:kern w:val="0"/>
          <w:sz w:val="24"/>
          <w:szCs w:val="24"/>
        </w:rPr>
        <w:t xml:space="preserve"> 675, 701-02 (2010)</w:t>
      </w:r>
    </w:p>
    <w:p w14:paraId="30FBD532" w14:textId="177B2D1B" w:rsidR="00B911C9" w:rsidRPr="00F6522F" w:rsidRDefault="00B911C9" w:rsidP="00F6522F">
      <w:pPr>
        <w:ind w:left="360"/>
        <w:contextualSpacing/>
        <w:rPr>
          <w:rFonts w:ascii="Garamond" w:hAnsi="Garamond"/>
          <w:b/>
          <w:bCs/>
          <w:smallCaps/>
          <w:color w:val="000000" w:themeColor="text1"/>
          <w:sz w:val="24"/>
          <w:szCs w:val="24"/>
        </w:rPr>
      </w:pPr>
    </w:p>
    <w:p w14:paraId="482EAB5E" w14:textId="77777777" w:rsidR="00B911C9" w:rsidRPr="00F6522F" w:rsidRDefault="00B911C9" w:rsidP="00F6522F">
      <w:pPr>
        <w:contextualSpacing/>
        <w:rPr>
          <w:rFonts w:ascii="Garamond" w:hAnsi="Garamond"/>
          <w:b/>
          <w:bCs/>
          <w:smallCaps/>
          <w:color w:val="000000" w:themeColor="text1"/>
          <w:sz w:val="24"/>
          <w:szCs w:val="24"/>
        </w:rPr>
      </w:pPr>
    </w:p>
    <w:sectPr w:rsidR="00B911C9" w:rsidRPr="00F6522F" w:rsidSect="004473DD"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pyrus">
    <w:panose1 w:val="020B0602040200020303"/>
    <w:charset w:val="00"/>
    <w:family w:val="auto"/>
    <w:pitch w:val="variable"/>
    <w:sig w:usb0="A000007F" w:usb1="4000205B" w:usb2="000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41A13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36C6EE6"/>
    <w:multiLevelType w:val="hybridMultilevel"/>
    <w:tmpl w:val="893AD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9E56AE"/>
    <w:multiLevelType w:val="multilevel"/>
    <w:tmpl w:val="B926A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3101E7"/>
    <w:multiLevelType w:val="multilevel"/>
    <w:tmpl w:val="5CCEB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8E72E1"/>
    <w:multiLevelType w:val="hybridMultilevel"/>
    <w:tmpl w:val="07B619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7211291"/>
    <w:multiLevelType w:val="hybridMultilevel"/>
    <w:tmpl w:val="FE40631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1CD436A9"/>
    <w:multiLevelType w:val="hybridMultilevel"/>
    <w:tmpl w:val="41746A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784D9B"/>
    <w:multiLevelType w:val="hybridMultilevel"/>
    <w:tmpl w:val="D0B07F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4982374"/>
    <w:multiLevelType w:val="hybridMultilevel"/>
    <w:tmpl w:val="ADCC07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4CF5347"/>
    <w:multiLevelType w:val="hybridMultilevel"/>
    <w:tmpl w:val="30D4B8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5A3110F"/>
    <w:multiLevelType w:val="hybridMultilevel"/>
    <w:tmpl w:val="603E99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6D32D38"/>
    <w:multiLevelType w:val="hybridMultilevel"/>
    <w:tmpl w:val="DC58B5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E5A6587"/>
    <w:multiLevelType w:val="hybridMultilevel"/>
    <w:tmpl w:val="8258ED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01C6A82"/>
    <w:multiLevelType w:val="multilevel"/>
    <w:tmpl w:val="8BDAB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53670A"/>
    <w:multiLevelType w:val="hybridMultilevel"/>
    <w:tmpl w:val="5CA0E1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244989"/>
    <w:multiLevelType w:val="hybridMultilevel"/>
    <w:tmpl w:val="C332CC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3156E62"/>
    <w:multiLevelType w:val="multilevel"/>
    <w:tmpl w:val="B926A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3E815DC"/>
    <w:multiLevelType w:val="hybridMultilevel"/>
    <w:tmpl w:val="9C5CE4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7142BE4"/>
    <w:multiLevelType w:val="hybridMultilevel"/>
    <w:tmpl w:val="3006E5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8251352"/>
    <w:multiLevelType w:val="hybridMultilevel"/>
    <w:tmpl w:val="BB6A58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ADB2977"/>
    <w:multiLevelType w:val="hybridMultilevel"/>
    <w:tmpl w:val="EAC2DC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CA43328"/>
    <w:multiLevelType w:val="hybridMultilevel"/>
    <w:tmpl w:val="635664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06D5754"/>
    <w:multiLevelType w:val="hybridMultilevel"/>
    <w:tmpl w:val="FC90BB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2420E53"/>
    <w:multiLevelType w:val="hybridMultilevel"/>
    <w:tmpl w:val="54B869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63220AE"/>
    <w:multiLevelType w:val="hybridMultilevel"/>
    <w:tmpl w:val="B1326B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7887733"/>
    <w:multiLevelType w:val="hybridMultilevel"/>
    <w:tmpl w:val="597EAF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9131973"/>
    <w:multiLevelType w:val="hybridMultilevel"/>
    <w:tmpl w:val="2C981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561893"/>
    <w:multiLevelType w:val="hybridMultilevel"/>
    <w:tmpl w:val="04AA61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A7240C9"/>
    <w:multiLevelType w:val="hybridMultilevel"/>
    <w:tmpl w:val="66AEA8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F9A0C4E"/>
    <w:multiLevelType w:val="hybridMultilevel"/>
    <w:tmpl w:val="692EA0BE"/>
    <w:lvl w:ilvl="0" w:tplc="27AEB3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2456E47"/>
    <w:multiLevelType w:val="hybridMultilevel"/>
    <w:tmpl w:val="430221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2635B3F"/>
    <w:multiLevelType w:val="multilevel"/>
    <w:tmpl w:val="BFE8C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6595463"/>
    <w:multiLevelType w:val="hybridMultilevel"/>
    <w:tmpl w:val="36CC9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65329B"/>
    <w:multiLevelType w:val="hybridMultilevel"/>
    <w:tmpl w:val="2F260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9736B87"/>
    <w:multiLevelType w:val="hybridMultilevel"/>
    <w:tmpl w:val="CA6C3B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5BA058E7"/>
    <w:multiLevelType w:val="hybridMultilevel"/>
    <w:tmpl w:val="BF162AB8"/>
    <w:lvl w:ilvl="0" w:tplc="27AEB3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CDF0482"/>
    <w:multiLevelType w:val="hybridMultilevel"/>
    <w:tmpl w:val="468E29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D011442"/>
    <w:multiLevelType w:val="hybridMultilevel"/>
    <w:tmpl w:val="9BC8B4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6DD55EF4"/>
    <w:multiLevelType w:val="hybridMultilevel"/>
    <w:tmpl w:val="21FC3A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6E4E07FD"/>
    <w:multiLevelType w:val="hybridMultilevel"/>
    <w:tmpl w:val="370C33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34F60EF"/>
    <w:multiLevelType w:val="hybridMultilevel"/>
    <w:tmpl w:val="FA0E7E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8CA3FC5"/>
    <w:multiLevelType w:val="hybridMultilevel"/>
    <w:tmpl w:val="607A8C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9B02138"/>
    <w:multiLevelType w:val="hybridMultilevel"/>
    <w:tmpl w:val="1F323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A85719"/>
    <w:multiLevelType w:val="hybridMultilevel"/>
    <w:tmpl w:val="38929C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3"/>
  </w:num>
  <w:num w:numId="3">
    <w:abstractNumId w:val="39"/>
  </w:num>
  <w:num w:numId="4">
    <w:abstractNumId w:val="30"/>
  </w:num>
  <w:num w:numId="5">
    <w:abstractNumId w:val="35"/>
  </w:num>
  <w:num w:numId="6">
    <w:abstractNumId w:val="20"/>
  </w:num>
  <w:num w:numId="7">
    <w:abstractNumId w:val="6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14"/>
  </w:num>
  <w:num w:numId="13">
    <w:abstractNumId w:val="42"/>
  </w:num>
  <w:num w:numId="14">
    <w:abstractNumId w:val="10"/>
  </w:num>
  <w:num w:numId="15">
    <w:abstractNumId w:val="22"/>
  </w:num>
  <w:num w:numId="16">
    <w:abstractNumId w:val="12"/>
  </w:num>
  <w:num w:numId="17">
    <w:abstractNumId w:val="45"/>
  </w:num>
  <w:num w:numId="18">
    <w:abstractNumId w:val="29"/>
  </w:num>
  <w:num w:numId="19">
    <w:abstractNumId w:val="5"/>
  </w:num>
  <w:num w:numId="20">
    <w:abstractNumId w:val="47"/>
  </w:num>
  <w:num w:numId="21">
    <w:abstractNumId w:val="16"/>
  </w:num>
  <w:num w:numId="22">
    <w:abstractNumId w:val="34"/>
  </w:num>
  <w:num w:numId="23">
    <w:abstractNumId w:val="40"/>
  </w:num>
  <w:num w:numId="24">
    <w:abstractNumId w:val="41"/>
  </w:num>
  <w:num w:numId="25">
    <w:abstractNumId w:val="23"/>
  </w:num>
  <w:num w:numId="26">
    <w:abstractNumId w:val="27"/>
  </w:num>
  <w:num w:numId="27">
    <w:abstractNumId w:val="25"/>
  </w:num>
  <w:num w:numId="28">
    <w:abstractNumId w:val="24"/>
  </w:num>
  <w:num w:numId="29">
    <w:abstractNumId w:val="0"/>
  </w:num>
  <w:num w:numId="30">
    <w:abstractNumId w:val="15"/>
  </w:num>
  <w:num w:numId="31">
    <w:abstractNumId w:val="46"/>
  </w:num>
  <w:num w:numId="32">
    <w:abstractNumId w:val="9"/>
  </w:num>
  <w:num w:numId="33">
    <w:abstractNumId w:val="36"/>
  </w:num>
  <w:num w:numId="34">
    <w:abstractNumId w:val="26"/>
  </w:num>
  <w:num w:numId="35">
    <w:abstractNumId w:val="28"/>
  </w:num>
  <w:num w:numId="36">
    <w:abstractNumId w:val="38"/>
  </w:num>
  <w:num w:numId="37">
    <w:abstractNumId w:val="31"/>
  </w:num>
  <w:num w:numId="38">
    <w:abstractNumId w:val="44"/>
  </w:num>
  <w:num w:numId="39">
    <w:abstractNumId w:val="17"/>
  </w:num>
  <w:num w:numId="40">
    <w:abstractNumId w:val="7"/>
  </w:num>
  <w:num w:numId="41">
    <w:abstractNumId w:val="43"/>
  </w:num>
  <w:num w:numId="42">
    <w:abstractNumId w:val="21"/>
  </w:num>
  <w:num w:numId="43">
    <w:abstractNumId w:val="37"/>
  </w:num>
  <w:num w:numId="44">
    <w:abstractNumId w:val="8"/>
  </w:num>
  <w:num w:numId="45">
    <w:abstractNumId w:val="13"/>
  </w:num>
  <w:num w:numId="46">
    <w:abstractNumId w:val="19"/>
  </w:num>
  <w:num w:numId="47">
    <w:abstractNumId w:val="11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412"/>
    <w:rsid w:val="0001399F"/>
    <w:rsid w:val="000258CB"/>
    <w:rsid w:val="00035412"/>
    <w:rsid w:val="00037DD9"/>
    <w:rsid w:val="000607A0"/>
    <w:rsid w:val="000866D4"/>
    <w:rsid w:val="000B07CA"/>
    <w:rsid w:val="000C67D7"/>
    <w:rsid w:val="000E34B7"/>
    <w:rsid w:val="00172192"/>
    <w:rsid w:val="00193CBE"/>
    <w:rsid w:val="001C1474"/>
    <w:rsid w:val="001D0F7D"/>
    <w:rsid w:val="001D5862"/>
    <w:rsid w:val="001D6564"/>
    <w:rsid w:val="001F251D"/>
    <w:rsid w:val="00276505"/>
    <w:rsid w:val="002A1B59"/>
    <w:rsid w:val="002B3F68"/>
    <w:rsid w:val="002D391A"/>
    <w:rsid w:val="002F50F0"/>
    <w:rsid w:val="002F5BF7"/>
    <w:rsid w:val="003778BF"/>
    <w:rsid w:val="00385C0A"/>
    <w:rsid w:val="003B3CDB"/>
    <w:rsid w:val="003D2820"/>
    <w:rsid w:val="003D6147"/>
    <w:rsid w:val="003E01FC"/>
    <w:rsid w:val="00445D62"/>
    <w:rsid w:val="004473DD"/>
    <w:rsid w:val="00496DA9"/>
    <w:rsid w:val="004C26FC"/>
    <w:rsid w:val="0055244A"/>
    <w:rsid w:val="005936C3"/>
    <w:rsid w:val="005A623A"/>
    <w:rsid w:val="005C5AF9"/>
    <w:rsid w:val="005D311F"/>
    <w:rsid w:val="005F77C8"/>
    <w:rsid w:val="006027A7"/>
    <w:rsid w:val="00611B04"/>
    <w:rsid w:val="00662924"/>
    <w:rsid w:val="00690B68"/>
    <w:rsid w:val="00693C8B"/>
    <w:rsid w:val="006941D3"/>
    <w:rsid w:val="006C161D"/>
    <w:rsid w:val="006C6EB8"/>
    <w:rsid w:val="007160B6"/>
    <w:rsid w:val="00720028"/>
    <w:rsid w:val="00740584"/>
    <w:rsid w:val="00765327"/>
    <w:rsid w:val="00786228"/>
    <w:rsid w:val="007A5F47"/>
    <w:rsid w:val="007B7814"/>
    <w:rsid w:val="007C0E51"/>
    <w:rsid w:val="007E4EC4"/>
    <w:rsid w:val="00866819"/>
    <w:rsid w:val="008D523A"/>
    <w:rsid w:val="008E4D23"/>
    <w:rsid w:val="0092659A"/>
    <w:rsid w:val="009377B6"/>
    <w:rsid w:val="009541BA"/>
    <w:rsid w:val="009605A3"/>
    <w:rsid w:val="009E095A"/>
    <w:rsid w:val="00A6772E"/>
    <w:rsid w:val="00A85012"/>
    <w:rsid w:val="00A85228"/>
    <w:rsid w:val="00AA4929"/>
    <w:rsid w:val="00AD2B60"/>
    <w:rsid w:val="00AD4739"/>
    <w:rsid w:val="00AD59B9"/>
    <w:rsid w:val="00B0565B"/>
    <w:rsid w:val="00B277F8"/>
    <w:rsid w:val="00B62901"/>
    <w:rsid w:val="00B7063D"/>
    <w:rsid w:val="00B911C9"/>
    <w:rsid w:val="00BD4FE3"/>
    <w:rsid w:val="00C147B2"/>
    <w:rsid w:val="00C517BB"/>
    <w:rsid w:val="00C53EF5"/>
    <w:rsid w:val="00C703BA"/>
    <w:rsid w:val="00C7642D"/>
    <w:rsid w:val="00CA55BC"/>
    <w:rsid w:val="00CA6C1B"/>
    <w:rsid w:val="00CD4561"/>
    <w:rsid w:val="00CF193D"/>
    <w:rsid w:val="00CF5B0C"/>
    <w:rsid w:val="00D01EF5"/>
    <w:rsid w:val="00D115E8"/>
    <w:rsid w:val="00D56BE5"/>
    <w:rsid w:val="00D9680C"/>
    <w:rsid w:val="00D96E71"/>
    <w:rsid w:val="00DA1791"/>
    <w:rsid w:val="00DA48EE"/>
    <w:rsid w:val="00DD409B"/>
    <w:rsid w:val="00DD5E2E"/>
    <w:rsid w:val="00DF09A8"/>
    <w:rsid w:val="00E06064"/>
    <w:rsid w:val="00E45F28"/>
    <w:rsid w:val="00E9035C"/>
    <w:rsid w:val="00EB44BD"/>
    <w:rsid w:val="00EE1F82"/>
    <w:rsid w:val="00EE23C2"/>
    <w:rsid w:val="00EE7344"/>
    <w:rsid w:val="00F225F9"/>
    <w:rsid w:val="00F30262"/>
    <w:rsid w:val="00F31899"/>
    <w:rsid w:val="00F459D8"/>
    <w:rsid w:val="00F45DFE"/>
    <w:rsid w:val="00F55F5E"/>
    <w:rsid w:val="00F6522F"/>
    <w:rsid w:val="00F93181"/>
    <w:rsid w:val="00FA505F"/>
    <w:rsid w:val="00FA71EF"/>
    <w:rsid w:val="00FA7C1D"/>
    <w:rsid w:val="00FB2930"/>
    <w:rsid w:val="00FB706B"/>
    <w:rsid w:val="00FD3048"/>
    <w:rsid w:val="00FF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7C943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Spacing" w:qFormat="1"/>
    <w:lsdException w:name="Medium Grid 2" w:uiPriority="1" w:qFormat="1"/>
    <w:lsdException w:name="List Paragraph" w:qFormat="1"/>
    <w:lsdException w:name="Quote" w:qFormat="1"/>
    <w:lsdException w:name="Intense Quote" w:qFormat="1"/>
    <w:lsdException w:name="Colorful List Accent 1" w:uiPriority="34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D409B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FF1CC5"/>
    <w:rPr>
      <w:rFonts w:ascii="Papyrus" w:hAnsi="Papyrus" w:cs="Arial"/>
      <w:color w:val="5D3337"/>
    </w:rPr>
  </w:style>
  <w:style w:type="character" w:styleId="Strong">
    <w:name w:val="Strong"/>
    <w:uiPriority w:val="22"/>
    <w:qFormat/>
    <w:rsid w:val="004B0422"/>
    <w:rPr>
      <w:b/>
      <w:bCs/>
    </w:rPr>
  </w:style>
  <w:style w:type="paragraph" w:styleId="BalloonText">
    <w:name w:val="Balloon Text"/>
    <w:basedOn w:val="Normal"/>
    <w:link w:val="BalloonTextChar"/>
    <w:rsid w:val="002836F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2836FE"/>
    <w:rPr>
      <w:rFonts w:ascii="Lucida Grande" w:hAnsi="Lucida Grande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053FF7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053FF7"/>
    <w:rPr>
      <w:rFonts w:ascii="Consolas" w:eastAsia="Calibri" w:hAnsi="Consolas" w:cs="Times New Roman"/>
      <w:sz w:val="21"/>
      <w:szCs w:val="21"/>
    </w:rPr>
  </w:style>
  <w:style w:type="character" w:styleId="Emphasis">
    <w:name w:val="Emphasis"/>
    <w:uiPriority w:val="20"/>
    <w:qFormat/>
    <w:rsid w:val="00936F54"/>
    <w:rPr>
      <w:b/>
      <w:bCs/>
      <w:i w:val="0"/>
      <w:iCs w:val="0"/>
    </w:rPr>
  </w:style>
  <w:style w:type="character" w:styleId="Hyperlink">
    <w:name w:val="Hyperlink"/>
    <w:rsid w:val="00B2191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2191A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3321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32133"/>
  </w:style>
  <w:style w:type="character" w:styleId="HTMLCite">
    <w:name w:val="HTML Cite"/>
    <w:uiPriority w:val="99"/>
    <w:unhideWhenUsed/>
    <w:rsid w:val="0002141C"/>
    <w:rPr>
      <w:i/>
      <w:iCs/>
    </w:rPr>
  </w:style>
  <w:style w:type="paragraph" w:customStyle="1" w:styleId="Default">
    <w:name w:val="Default"/>
    <w:rsid w:val="00DD3196"/>
    <w:pPr>
      <w:autoSpaceDE w:val="0"/>
      <w:autoSpaceDN w:val="0"/>
      <w:adjustRightInd w:val="0"/>
    </w:pPr>
    <w:rPr>
      <w:rFonts w:eastAsia="Cambria"/>
      <w:color w:val="000000"/>
      <w:sz w:val="24"/>
      <w:szCs w:val="24"/>
    </w:rPr>
  </w:style>
  <w:style w:type="character" w:customStyle="1" w:styleId="bwuline1">
    <w:name w:val="bwuline1"/>
    <w:rsid w:val="00254039"/>
    <w:rPr>
      <w:u w:val="single"/>
    </w:rPr>
  </w:style>
  <w:style w:type="paragraph" w:customStyle="1" w:styleId="MediumGrid2-Accent11">
    <w:name w:val="Medium Grid 2 - Accent 11"/>
    <w:uiPriority w:val="1"/>
    <w:qFormat/>
    <w:rsid w:val="000E34B7"/>
    <w:rPr>
      <w:rFonts w:ascii="Calibri" w:eastAsia="Calibri" w:hAnsi="Calibri"/>
      <w:sz w:val="22"/>
      <w:szCs w:val="22"/>
    </w:rPr>
  </w:style>
  <w:style w:type="paragraph" w:customStyle="1" w:styleId="LightGrid-Accent31">
    <w:name w:val="Light Grid - Accent 31"/>
    <w:basedOn w:val="Normal"/>
    <w:uiPriority w:val="34"/>
    <w:qFormat/>
    <w:rsid w:val="000E34B7"/>
    <w:pPr>
      <w:ind w:left="720"/>
      <w:contextualSpacing/>
    </w:pPr>
    <w:rPr>
      <w:color w:val="auto"/>
      <w:kern w:val="0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B911C9"/>
    <w:rPr>
      <w:color w:val="605E5C"/>
      <w:shd w:val="clear" w:color="auto" w:fill="E1DFDD"/>
    </w:rPr>
  </w:style>
  <w:style w:type="character" w:customStyle="1" w:styleId="sssh">
    <w:name w:val="ss_sh"/>
    <w:rsid w:val="003E01FC"/>
  </w:style>
  <w:style w:type="paragraph" w:styleId="ListParagraph">
    <w:name w:val="List Paragraph"/>
    <w:basedOn w:val="Normal"/>
    <w:qFormat/>
    <w:rsid w:val="00F6522F"/>
    <w:pPr>
      <w:ind w:left="720"/>
      <w:contextualSpacing/>
    </w:pPr>
  </w:style>
  <w:style w:type="character" w:styleId="FollowedHyperlink">
    <w:name w:val="FollowedHyperlink"/>
    <w:basedOn w:val="DefaultParagraphFont"/>
    <w:rsid w:val="00F6522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Spacing" w:qFormat="1"/>
    <w:lsdException w:name="Medium Grid 2" w:uiPriority="1" w:qFormat="1"/>
    <w:lsdException w:name="List Paragraph" w:qFormat="1"/>
    <w:lsdException w:name="Quote" w:qFormat="1"/>
    <w:lsdException w:name="Intense Quote" w:qFormat="1"/>
    <w:lsdException w:name="Colorful List Accent 1" w:uiPriority="34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D409B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FF1CC5"/>
    <w:rPr>
      <w:rFonts w:ascii="Papyrus" w:hAnsi="Papyrus" w:cs="Arial"/>
      <w:color w:val="5D3337"/>
    </w:rPr>
  </w:style>
  <w:style w:type="character" w:styleId="Strong">
    <w:name w:val="Strong"/>
    <w:uiPriority w:val="22"/>
    <w:qFormat/>
    <w:rsid w:val="004B0422"/>
    <w:rPr>
      <w:b/>
      <w:bCs/>
    </w:rPr>
  </w:style>
  <w:style w:type="paragraph" w:styleId="BalloonText">
    <w:name w:val="Balloon Text"/>
    <w:basedOn w:val="Normal"/>
    <w:link w:val="BalloonTextChar"/>
    <w:rsid w:val="002836F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2836FE"/>
    <w:rPr>
      <w:rFonts w:ascii="Lucida Grande" w:hAnsi="Lucida Grande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053FF7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053FF7"/>
    <w:rPr>
      <w:rFonts w:ascii="Consolas" w:eastAsia="Calibri" w:hAnsi="Consolas" w:cs="Times New Roman"/>
      <w:sz w:val="21"/>
      <w:szCs w:val="21"/>
    </w:rPr>
  </w:style>
  <w:style w:type="character" w:styleId="Emphasis">
    <w:name w:val="Emphasis"/>
    <w:uiPriority w:val="20"/>
    <w:qFormat/>
    <w:rsid w:val="00936F54"/>
    <w:rPr>
      <w:b/>
      <w:bCs/>
      <w:i w:val="0"/>
      <w:iCs w:val="0"/>
    </w:rPr>
  </w:style>
  <w:style w:type="character" w:styleId="Hyperlink">
    <w:name w:val="Hyperlink"/>
    <w:rsid w:val="00B2191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2191A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3321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32133"/>
  </w:style>
  <w:style w:type="character" w:styleId="HTMLCite">
    <w:name w:val="HTML Cite"/>
    <w:uiPriority w:val="99"/>
    <w:unhideWhenUsed/>
    <w:rsid w:val="0002141C"/>
    <w:rPr>
      <w:i/>
      <w:iCs/>
    </w:rPr>
  </w:style>
  <w:style w:type="paragraph" w:customStyle="1" w:styleId="Default">
    <w:name w:val="Default"/>
    <w:rsid w:val="00DD3196"/>
    <w:pPr>
      <w:autoSpaceDE w:val="0"/>
      <w:autoSpaceDN w:val="0"/>
      <w:adjustRightInd w:val="0"/>
    </w:pPr>
    <w:rPr>
      <w:rFonts w:eastAsia="Cambria"/>
      <w:color w:val="000000"/>
      <w:sz w:val="24"/>
      <w:szCs w:val="24"/>
    </w:rPr>
  </w:style>
  <w:style w:type="character" w:customStyle="1" w:styleId="bwuline1">
    <w:name w:val="bwuline1"/>
    <w:rsid w:val="00254039"/>
    <w:rPr>
      <w:u w:val="single"/>
    </w:rPr>
  </w:style>
  <w:style w:type="paragraph" w:customStyle="1" w:styleId="MediumGrid2-Accent11">
    <w:name w:val="Medium Grid 2 - Accent 11"/>
    <w:uiPriority w:val="1"/>
    <w:qFormat/>
    <w:rsid w:val="000E34B7"/>
    <w:rPr>
      <w:rFonts w:ascii="Calibri" w:eastAsia="Calibri" w:hAnsi="Calibri"/>
      <w:sz w:val="22"/>
      <w:szCs w:val="22"/>
    </w:rPr>
  </w:style>
  <w:style w:type="paragraph" w:customStyle="1" w:styleId="LightGrid-Accent31">
    <w:name w:val="Light Grid - Accent 31"/>
    <w:basedOn w:val="Normal"/>
    <w:uiPriority w:val="34"/>
    <w:qFormat/>
    <w:rsid w:val="000E34B7"/>
    <w:pPr>
      <w:ind w:left="720"/>
      <w:contextualSpacing/>
    </w:pPr>
    <w:rPr>
      <w:color w:val="auto"/>
      <w:kern w:val="0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B911C9"/>
    <w:rPr>
      <w:color w:val="605E5C"/>
      <w:shd w:val="clear" w:color="auto" w:fill="E1DFDD"/>
    </w:rPr>
  </w:style>
  <w:style w:type="character" w:customStyle="1" w:styleId="sssh">
    <w:name w:val="ss_sh"/>
    <w:rsid w:val="003E01FC"/>
  </w:style>
  <w:style w:type="paragraph" w:styleId="ListParagraph">
    <w:name w:val="List Paragraph"/>
    <w:basedOn w:val="Normal"/>
    <w:qFormat/>
    <w:rsid w:val="00F6522F"/>
    <w:pPr>
      <w:ind w:left="720"/>
      <w:contextualSpacing/>
    </w:pPr>
  </w:style>
  <w:style w:type="character" w:styleId="FollowedHyperlink">
    <w:name w:val="FollowedHyperlink"/>
    <w:basedOn w:val="DefaultParagraphFont"/>
    <w:rsid w:val="00F652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31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565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1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8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0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9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1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0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6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2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256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3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0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9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3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2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1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ssrn.com/abstract=3131933" TargetMode="External"/><Relationship Id="rId20" Type="http://schemas.openxmlformats.org/officeDocument/2006/relationships/hyperlink" Target="https://repository.law.umich.edu/cgi/viewcontent.cgi?article=1129&amp;context=articles" TargetMode="Externa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hyperlink" Target="https://ssrn.com/abstract=3054881" TargetMode="External"/><Relationship Id="rId11" Type="http://schemas.openxmlformats.org/officeDocument/2006/relationships/hyperlink" Target="https://scholarship.law.nd.edu/ndlr/vol87/iss4/8" TargetMode="External"/><Relationship Id="rId12" Type="http://schemas.openxmlformats.org/officeDocument/2006/relationships/hyperlink" Target="mailto:https://www.kirkland.com/files/standing_tall.pdf" TargetMode="External"/><Relationship Id="rId13" Type="http://schemas.openxmlformats.org/officeDocument/2006/relationships/hyperlink" Target="https://ssrn.com/abstract=978968" TargetMode="External"/><Relationship Id="rId14" Type="http://schemas.openxmlformats.org/officeDocument/2006/relationships/hyperlink" Target="https://www.antitrustinstitute.org/wp-content/uploads/2018/10/FBC_Paper.v.2.12.08.excerpts.pdf" TargetMode="External"/><Relationship Id="rId15" Type="http://schemas.openxmlformats.org/officeDocument/2006/relationships/hyperlink" Target="https://ssrn.com/abstract=2276088" TargetMode="External"/><Relationship Id="rId16" Type="http://schemas.openxmlformats.org/officeDocument/2006/relationships/hyperlink" Target="https://ssrn.com/abstract=1578459" TargetMode="External"/><Relationship Id="rId17" Type="http://schemas.openxmlformats.org/officeDocument/2006/relationships/hyperlink" Target="https://ssrn.com/abstract=1578459" TargetMode="External"/><Relationship Id="rId18" Type="http://schemas.openxmlformats.org/officeDocument/2006/relationships/hyperlink" Target="https://ssrn.com/abstract=2962579" TargetMode="External"/><Relationship Id="rId19" Type="http://schemas.openxmlformats.org/officeDocument/2006/relationships/hyperlink" Target="https://ssrn.com/abstract=2132981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hyperlink" Target="https://ssrn.com/abstract=32302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B0157-83F0-D84E-A16A-1D42A5D3D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564</Words>
  <Characters>3220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> </Manager>
  <Company> </Company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Mark Angland</dc:creator>
  <cp:keywords> </cp:keywords>
  <dc:description> </dc:description>
  <cp:lastModifiedBy>Sarah Frey</cp:lastModifiedBy>
  <cp:revision>4</cp:revision>
  <dcterms:created xsi:type="dcterms:W3CDTF">2018-09-18T19:49:00Z</dcterms:created>
  <dcterms:modified xsi:type="dcterms:W3CDTF">2018-10-10T22:33:00Z</dcterms:modified>
  <cp:category> </cp:category>
  <cp:contentStatus> </cp:contentStatus>
</cp:coreProperties>
</file>